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5208D" w14:textId="1F212B5A" w:rsidR="006A2987" w:rsidRPr="003F10FB" w:rsidRDefault="006A2987" w:rsidP="006A2987">
      <w:pPr>
        <w:spacing w:before="11" w:line="278" w:lineRule="auto"/>
        <w:jc w:val="center"/>
        <w:rPr>
          <w:rFonts w:ascii="Arial" w:eastAsia="Times New Roman" w:hAnsi="Arial" w:cs="Arial"/>
          <w:b/>
          <w:color w:val="000000"/>
          <w:sz w:val="24"/>
          <w:szCs w:val="24"/>
        </w:rPr>
      </w:pPr>
      <w:bookmarkStart w:id="0" w:name="_Hlk105772904"/>
      <w:r w:rsidRPr="003F10FB">
        <w:rPr>
          <w:rFonts w:ascii="Arial" w:eastAsia="Times New Roman" w:hAnsi="Arial" w:cs="Arial"/>
          <w:b/>
          <w:color w:val="000000"/>
          <w:sz w:val="24"/>
          <w:szCs w:val="24"/>
        </w:rPr>
        <w:t>PROJECT NO. 5</w:t>
      </w:r>
      <w:r w:rsidR="0060760F" w:rsidRPr="003F10FB">
        <w:rPr>
          <w:rFonts w:ascii="Arial" w:eastAsia="Times New Roman" w:hAnsi="Arial" w:cs="Arial"/>
          <w:b/>
          <w:color w:val="000000"/>
          <w:sz w:val="24"/>
          <w:szCs w:val="24"/>
        </w:rPr>
        <w:t>4584</w:t>
      </w:r>
    </w:p>
    <w:p w14:paraId="080E7EF8" w14:textId="77777777" w:rsidR="006A2987" w:rsidRPr="003F10FB" w:rsidRDefault="006A2987" w:rsidP="006A2987">
      <w:pPr>
        <w:spacing w:before="11" w:line="278" w:lineRule="auto"/>
        <w:jc w:val="center"/>
        <w:rPr>
          <w:rFonts w:ascii="Arial" w:eastAsia="Times New Roman" w:hAnsi="Arial" w:cs="Arial"/>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495"/>
      </w:tblGrid>
      <w:tr w:rsidR="006A2987" w:rsidRPr="003F10FB" w14:paraId="23B25394" w14:textId="77777777">
        <w:tc>
          <w:tcPr>
            <w:tcW w:w="4495" w:type="dxa"/>
          </w:tcPr>
          <w:p w14:paraId="57F551AA" w14:textId="76D15B3C" w:rsidR="0060760F" w:rsidRPr="003F10FB" w:rsidRDefault="0060760F" w:rsidP="00E85E6E">
            <w:pPr>
              <w:spacing w:before="11" w:line="278" w:lineRule="auto"/>
              <w:jc w:val="left"/>
              <w:rPr>
                <w:rFonts w:ascii="Arial" w:hAnsi="Arial" w:cs="Arial"/>
                <w:b/>
                <w:sz w:val="24"/>
                <w:szCs w:val="24"/>
              </w:rPr>
            </w:pPr>
            <w:r w:rsidRPr="003F10FB">
              <w:rPr>
                <w:rFonts w:ascii="Arial" w:hAnsi="Arial" w:cs="Arial"/>
                <w:b/>
                <w:sz w:val="24"/>
                <w:szCs w:val="24"/>
              </w:rPr>
              <w:t>RELIABILITY STANDARD</w:t>
            </w:r>
            <w:r w:rsidR="00FC4EBA">
              <w:rPr>
                <w:rFonts w:ascii="Arial" w:hAnsi="Arial" w:cs="Arial"/>
                <w:b/>
                <w:sz w:val="24"/>
                <w:szCs w:val="24"/>
              </w:rPr>
              <w:t xml:space="preserve"> FOR</w:t>
            </w:r>
          </w:p>
          <w:p w14:paraId="210146E1" w14:textId="5F7CD61D" w:rsidR="006A2987" w:rsidRPr="00FC4EBA" w:rsidRDefault="0060760F" w:rsidP="00E85E6E">
            <w:pPr>
              <w:spacing w:before="11" w:line="278" w:lineRule="auto"/>
              <w:jc w:val="left"/>
              <w:rPr>
                <w:rFonts w:ascii="Arial" w:hAnsi="Arial" w:cs="Arial"/>
                <w:b/>
                <w:sz w:val="24"/>
                <w:szCs w:val="24"/>
              </w:rPr>
            </w:pPr>
            <w:r w:rsidRPr="003F10FB">
              <w:rPr>
                <w:rFonts w:ascii="Arial" w:hAnsi="Arial" w:cs="Arial"/>
                <w:b/>
                <w:sz w:val="24"/>
                <w:szCs w:val="24"/>
              </w:rPr>
              <w:t>THE</w:t>
            </w:r>
            <w:r w:rsidR="00FC4EBA">
              <w:rPr>
                <w:rFonts w:ascii="Arial" w:hAnsi="Arial" w:cs="Arial"/>
                <w:b/>
                <w:sz w:val="24"/>
                <w:szCs w:val="24"/>
              </w:rPr>
              <w:t xml:space="preserve"> </w:t>
            </w:r>
            <w:r w:rsidRPr="003F10FB">
              <w:rPr>
                <w:rFonts w:ascii="Arial" w:hAnsi="Arial" w:cs="Arial"/>
                <w:b/>
                <w:sz w:val="24"/>
                <w:szCs w:val="24"/>
              </w:rPr>
              <w:t>ERCOT MARKET</w:t>
            </w:r>
          </w:p>
        </w:tc>
        <w:tc>
          <w:tcPr>
            <w:tcW w:w="360" w:type="dxa"/>
          </w:tcPr>
          <w:p w14:paraId="4908DB63" w14:textId="77777777" w:rsidR="006A2987" w:rsidRPr="003F10FB" w:rsidRDefault="006A2987">
            <w:pPr>
              <w:pBdr>
                <w:top w:val="nil"/>
                <w:left w:val="nil"/>
                <w:bottom w:val="nil"/>
                <w:right w:val="nil"/>
                <w:between w:val="nil"/>
                <w:bar w:val="nil"/>
              </w:pBdr>
              <w:jc w:val="center"/>
              <w:rPr>
                <w:rFonts w:ascii="Arial" w:eastAsia="Avenir Heavy"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73D540E6" w14:textId="77777777" w:rsidR="006A2987" w:rsidRPr="003F10FB" w:rsidRDefault="006A2987">
            <w:pPr>
              <w:pBdr>
                <w:top w:val="nil"/>
                <w:left w:val="nil"/>
                <w:bottom w:val="nil"/>
                <w:right w:val="nil"/>
                <w:between w:val="nil"/>
                <w:bar w:val="nil"/>
              </w:pBdr>
              <w:jc w:val="center"/>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5727B2E3" w14:textId="0B7279AA" w:rsidR="006A2987" w:rsidRPr="003F10FB" w:rsidRDefault="006A2987">
            <w:pPr>
              <w:spacing w:before="11" w:line="278" w:lineRule="auto"/>
              <w:jc w:val="center"/>
              <w:rPr>
                <w:rFonts w:ascii="Arial" w:eastAsia="Times New Roman" w:hAnsi="Arial" w:cs="Arial"/>
                <w:b/>
                <w:color w:val="000000"/>
                <w:sz w:val="24"/>
                <w:szCs w:val="24"/>
              </w:rPr>
            </w:pPr>
          </w:p>
        </w:tc>
        <w:tc>
          <w:tcPr>
            <w:tcW w:w="4495" w:type="dxa"/>
          </w:tcPr>
          <w:p w14:paraId="7A90EB0A" w14:textId="6501A70D" w:rsidR="006A2987" w:rsidRPr="00FC4EBA" w:rsidRDefault="006A2987" w:rsidP="00FC4EBA">
            <w:pPr>
              <w:pBdr>
                <w:top w:val="nil"/>
                <w:left w:val="nil"/>
                <w:bottom w:val="nil"/>
                <w:right w:val="nil"/>
                <w:between w:val="nil"/>
                <w:bar w:val="nil"/>
              </w:pBdr>
              <w:jc w:val="right"/>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PUBLIC UTILITY COMMISSION</w:t>
            </w:r>
          </w:p>
          <w:p w14:paraId="2495D8FE" w14:textId="0B2409C3" w:rsidR="006A2987" w:rsidRPr="003F10FB" w:rsidRDefault="008D490C" w:rsidP="00FC4EBA">
            <w:pPr>
              <w:spacing w:before="11" w:line="278" w:lineRule="auto"/>
              <w:jc w:val="center"/>
              <w:rPr>
                <w:rFonts w:ascii="Arial" w:eastAsia="Times New Roman" w:hAnsi="Arial" w:cs="Arial"/>
                <w:b/>
                <w:color w:val="000000"/>
                <w:sz w:val="24"/>
                <w:szCs w:val="24"/>
              </w:rPr>
            </w:pPr>
            <w:r>
              <w:rPr>
                <w:rFonts w:ascii="Arial" w:eastAsia="Arial Unicode MS" w:hAnsi="Arial" w:cs="Arial"/>
                <w:b/>
                <w:color w:val="000000"/>
                <w:sz w:val="24"/>
                <w:szCs w:val="24"/>
                <w:u w:color="000000"/>
                <w:bdr w:val="nil"/>
                <w14:textOutline w14:w="0" w14:cap="flat" w14:cmpd="sng" w14:algn="ctr">
                  <w14:noFill/>
                  <w14:prstDash w14:val="solid"/>
                  <w14:bevel/>
                </w14:textOutline>
              </w:rPr>
              <w:t xml:space="preserve">      </w:t>
            </w:r>
            <w:r w:rsidR="006A2987"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OF TEXAS</w:t>
            </w:r>
          </w:p>
        </w:tc>
      </w:tr>
    </w:tbl>
    <w:p w14:paraId="3253C50D" w14:textId="77777777" w:rsidR="006A2987" w:rsidRPr="003F10FB" w:rsidRDefault="006A2987" w:rsidP="0083115C">
      <w:pPr>
        <w:tabs>
          <w:tab w:val="left" w:pos="7920"/>
        </w:tabs>
        <w:spacing w:line="259" w:lineRule="auto"/>
        <w:jc w:val="center"/>
        <w:rPr>
          <w:rFonts w:ascii="Arial" w:eastAsia="Calibri" w:hAnsi="Arial" w:cs="Arial"/>
          <w:b/>
          <w:sz w:val="24"/>
          <w:szCs w:val="24"/>
        </w:rPr>
      </w:pPr>
    </w:p>
    <w:bookmarkEnd w:id="0"/>
    <w:p w14:paraId="736460FC" w14:textId="1EB0E8A4" w:rsidR="00C67BC3" w:rsidRPr="003F10FB" w:rsidRDefault="00C67BC3" w:rsidP="00C67BC3">
      <w:pPr>
        <w:pBdr>
          <w:top w:val="nil"/>
          <w:left w:val="nil"/>
          <w:bottom w:val="nil"/>
          <w:right w:val="nil"/>
          <w:between w:val="nil"/>
        </w:pBdr>
        <w:jc w:val="center"/>
        <w:rPr>
          <w:rFonts w:ascii="Arial" w:eastAsia="Arial" w:hAnsi="Arial" w:cs="Arial"/>
          <w:b/>
          <w:bCs/>
          <w:color w:val="000000"/>
          <w:sz w:val="24"/>
          <w:szCs w:val="24"/>
        </w:rPr>
      </w:pPr>
      <w:r w:rsidRPr="003F10FB">
        <w:rPr>
          <w:rFonts w:ascii="Arial" w:eastAsia="Arial" w:hAnsi="Arial" w:cs="Arial"/>
          <w:b/>
          <w:bCs/>
          <w:color w:val="000000"/>
          <w:sz w:val="24"/>
          <w:szCs w:val="24"/>
        </w:rPr>
        <w:t xml:space="preserve">JOINT COMMENTS OF TEXAS SOLAR POWER ASSOCIATION AND SOLAR ENERGY INDUSTRIES ASSOCIATION ON STAFF </w:t>
      </w:r>
      <w:r w:rsidR="00682A83">
        <w:rPr>
          <w:rFonts w:ascii="Arial" w:eastAsia="Arial" w:hAnsi="Arial" w:cs="Arial"/>
          <w:b/>
          <w:bCs/>
          <w:color w:val="000000"/>
          <w:sz w:val="24"/>
          <w:szCs w:val="24"/>
        </w:rPr>
        <w:t>QUESTIONS</w:t>
      </w:r>
    </w:p>
    <w:p w14:paraId="6CE994B0" w14:textId="77777777" w:rsidR="00C67BC3" w:rsidRPr="003F10FB" w:rsidRDefault="00C67BC3" w:rsidP="00C67BC3">
      <w:pPr>
        <w:pBdr>
          <w:top w:val="nil"/>
          <w:left w:val="nil"/>
          <w:bottom w:val="nil"/>
          <w:right w:val="nil"/>
          <w:between w:val="nil"/>
        </w:pBdr>
        <w:jc w:val="center"/>
        <w:rPr>
          <w:rFonts w:ascii="Arial" w:hAnsi="Arial" w:cs="Arial"/>
          <w:b/>
          <w:sz w:val="24"/>
          <w:szCs w:val="24"/>
        </w:rPr>
      </w:pPr>
    </w:p>
    <w:p w14:paraId="57FA0891" w14:textId="114B2D85" w:rsidR="00C67BC3" w:rsidRPr="003F10FB" w:rsidRDefault="00C67BC3" w:rsidP="00C67BC3">
      <w:pPr>
        <w:pBdr>
          <w:top w:val="nil"/>
          <w:left w:val="nil"/>
          <w:bottom w:val="nil"/>
          <w:right w:val="nil"/>
          <w:between w:val="nil"/>
        </w:pBdr>
        <w:spacing w:line="480" w:lineRule="auto"/>
        <w:ind w:firstLine="720"/>
        <w:rPr>
          <w:rFonts w:ascii="Arial" w:hAnsi="Arial" w:cs="Arial"/>
          <w:sz w:val="24"/>
          <w:szCs w:val="24"/>
        </w:rPr>
      </w:pPr>
      <w:r w:rsidRPr="003F10FB">
        <w:rPr>
          <w:rFonts w:ascii="Arial" w:eastAsia="Arial" w:hAnsi="Arial" w:cs="Arial"/>
          <w:color w:val="000000"/>
          <w:sz w:val="24"/>
          <w:szCs w:val="24"/>
        </w:rPr>
        <w:t xml:space="preserve">COMES NOW the Texas Solar Power Association (TSPA) and the Solar Energy Industries Association (SEIA) (collectively, Solar Associations) and file these joint comments </w:t>
      </w:r>
      <w:r w:rsidRPr="003F10FB">
        <w:rPr>
          <w:rFonts w:ascii="Arial" w:eastAsia="Times New Roman" w:hAnsi="Arial" w:cs="Arial"/>
          <w:sz w:val="24"/>
          <w:szCs w:val="24"/>
        </w:rPr>
        <w:t>in response to Commission Staff’s Request for Comment filed on March 7, 2023, in the above-referenced Project</w:t>
      </w:r>
      <w:r w:rsidRPr="003F10FB">
        <w:rPr>
          <w:rFonts w:ascii="Arial" w:eastAsia="Calibri" w:hAnsi="Arial" w:cs="Arial"/>
          <w:sz w:val="24"/>
          <w:szCs w:val="24"/>
        </w:rPr>
        <w:t>.</w:t>
      </w:r>
      <w:r w:rsidR="00C01AD2">
        <w:rPr>
          <w:rFonts w:ascii="Arial" w:eastAsia="Calibri" w:hAnsi="Arial" w:cs="Arial"/>
          <w:sz w:val="24"/>
          <w:szCs w:val="24"/>
        </w:rPr>
        <w:t xml:space="preserve">  </w:t>
      </w:r>
      <w:r w:rsidRPr="003F10FB">
        <w:rPr>
          <w:rFonts w:ascii="Arial" w:eastAsia="Arial" w:hAnsi="Arial" w:cs="Arial"/>
          <w:color w:val="000000"/>
          <w:sz w:val="24"/>
          <w:szCs w:val="24"/>
        </w:rPr>
        <w:t xml:space="preserve">TSPA and SEIA are not affiliates but have combined our comments for this filing to assist the Commission. </w:t>
      </w:r>
    </w:p>
    <w:p w14:paraId="2E277A6B" w14:textId="4C145817" w:rsidR="00C67BC3" w:rsidRPr="00F12120" w:rsidRDefault="00C67BC3" w:rsidP="00F12120">
      <w:pPr>
        <w:pStyle w:val="ListParagraph"/>
        <w:numPr>
          <w:ilvl w:val="0"/>
          <w:numId w:val="9"/>
        </w:numPr>
        <w:pBdr>
          <w:top w:val="nil"/>
          <w:left w:val="nil"/>
          <w:bottom w:val="nil"/>
          <w:right w:val="nil"/>
          <w:between w:val="nil"/>
        </w:pBdr>
        <w:spacing w:line="480" w:lineRule="auto"/>
        <w:ind w:left="360" w:hanging="360"/>
        <w:jc w:val="center"/>
        <w:rPr>
          <w:rFonts w:ascii="Arial" w:hAnsi="Arial" w:cs="Arial"/>
          <w:b/>
          <w:sz w:val="24"/>
          <w:szCs w:val="24"/>
        </w:rPr>
      </w:pPr>
      <w:r w:rsidRPr="00F12120">
        <w:rPr>
          <w:rFonts w:ascii="Arial" w:eastAsia="Arial" w:hAnsi="Arial" w:cs="Arial"/>
          <w:b/>
          <w:color w:val="000000"/>
          <w:sz w:val="24"/>
          <w:szCs w:val="24"/>
        </w:rPr>
        <w:t>INTRODUCTION</w:t>
      </w:r>
    </w:p>
    <w:p w14:paraId="3B90293F" w14:textId="77777777" w:rsidR="00C67BC3" w:rsidRPr="003F10FB" w:rsidRDefault="00C67BC3" w:rsidP="00C67BC3">
      <w:pPr>
        <w:pBdr>
          <w:top w:val="nil"/>
          <w:left w:val="nil"/>
          <w:bottom w:val="nil"/>
          <w:right w:val="nil"/>
          <w:between w:val="nil"/>
        </w:pBdr>
        <w:spacing w:line="480" w:lineRule="auto"/>
        <w:ind w:firstLine="720"/>
        <w:rPr>
          <w:rFonts w:ascii="Arial" w:eastAsia="Arial" w:hAnsi="Arial" w:cs="Arial"/>
          <w:color w:val="000000"/>
          <w:sz w:val="24"/>
          <w:szCs w:val="24"/>
        </w:rPr>
      </w:pPr>
      <w:r w:rsidRPr="003F10FB">
        <w:rPr>
          <w:rFonts w:ascii="Arial" w:eastAsia="Arial" w:hAnsi="Arial" w:cs="Arial"/>
          <w:color w:val="000000"/>
          <w:sz w:val="24"/>
          <w:szCs w:val="24"/>
        </w:rPr>
        <w:t xml:space="preserve">The TSPA is a statewide industry trade association that promotes the development of solar electric generation. Our member companies invest in the development of solar photovoltaic products and projects in Texas, serving customers in both wholesale and retail markets, with products ranging from utility-scale generation, community solar, and customer-sited solar and storage solutions. </w:t>
      </w:r>
    </w:p>
    <w:p w14:paraId="248B2F94" w14:textId="77777777" w:rsidR="00C67BC3" w:rsidRPr="003F10FB" w:rsidRDefault="00C67BC3" w:rsidP="00C67BC3">
      <w:pPr>
        <w:pBdr>
          <w:top w:val="nil"/>
          <w:left w:val="nil"/>
          <w:bottom w:val="nil"/>
          <w:right w:val="nil"/>
          <w:between w:val="nil"/>
        </w:pBdr>
        <w:spacing w:line="480" w:lineRule="auto"/>
        <w:ind w:firstLine="720"/>
        <w:rPr>
          <w:rFonts w:ascii="Arial" w:hAnsi="Arial" w:cs="Arial"/>
          <w:sz w:val="24"/>
          <w:szCs w:val="24"/>
        </w:rPr>
      </w:pPr>
      <w:r w:rsidRPr="003F10FB">
        <w:rPr>
          <w:rFonts w:ascii="Arial" w:eastAsia="Arial" w:hAnsi="Arial" w:cs="Arial"/>
          <w:color w:val="000000"/>
          <w:sz w:val="24"/>
          <w:szCs w:val="24"/>
        </w:rPr>
        <w:t xml:space="preserve">SEIA is a national trade association of the solar energy industry. Through advocacy and education, SEIA and its members are building a strong solar industry to power America. As </w:t>
      </w:r>
      <w:r w:rsidRPr="003F10FB">
        <w:rPr>
          <w:rFonts w:ascii="Arial" w:eastAsia="Arial" w:hAnsi="Arial" w:cs="Arial"/>
          <w:sz w:val="24"/>
          <w:szCs w:val="24"/>
        </w:rPr>
        <w:t>a</w:t>
      </w:r>
      <w:r w:rsidRPr="003F10FB">
        <w:rPr>
          <w:rFonts w:ascii="Arial" w:eastAsia="Arial" w:hAnsi="Arial" w:cs="Arial"/>
          <w:color w:val="000000"/>
          <w:sz w:val="24"/>
          <w:szCs w:val="24"/>
        </w:rPr>
        <w:t xml:space="preserve"> voice of the industry, SEIA works to make solar a mainstream and significant energy source by expanding markets, removing market barriers, strengthening the industry, and educating the public on the benefits of solar energy.  SEIA represents solar companies across a variety of solar energy technologies, including photovoltaic (PV), solar water heating, and concentrating solar power (CSP). Additionally, SEIA </w:t>
      </w:r>
      <w:r w:rsidRPr="003F10FB">
        <w:rPr>
          <w:rFonts w:ascii="Arial" w:eastAsia="Arial" w:hAnsi="Arial" w:cs="Arial"/>
          <w:color w:val="000000"/>
          <w:sz w:val="24"/>
          <w:szCs w:val="24"/>
        </w:rPr>
        <w:lastRenderedPageBreak/>
        <w:t>represents diverse solar companies providing utility-scale generation, community solar, and customer-sited solar and storage solutions.</w:t>
      </w:r>
    </w:p>
    <w:p w14:paraId="276BD57B" w14:textId="40BE3C95" w:rsidR="00682A83" w:rsidRDefault="00C67BC3" w:rsidP="00C67BC3">
      <w:pPr>
        <w:pBdr>
          <w:top w:val="nil"/>
          <w:left w:val="nil"/>
          <w:bottom w:val="nil"/>
          <w:right w:val="nil"/>
          <w:between w:val="nil"/>
        </w:pBdr>
        <w:spacing w:line="480" w:lineRule="auto"/>
        <w:rPr>
          <w:rFonts w:ascii="Arial" w:hAnsi="Arial" w:cs="Arial"/>
          <w:sz w:val="24"/>
          <w:szCs w:val="24"/>
        </w:rPr>
      </w:pPr>
      <w:r w:rsidRPr="003F10FB">
        <w:rPr>
          <w:rFonts w:ascii="Arial" w:eastAsia="Arial" w:hAnsi="Arial" w:cs="Arial"/>
          <w:color w:val="000000"/>
          <w:sz w:val="24"/>
          <w:szCs w:val="24"/>
        </w:rPr>
        <w:tab/>
        <w:t xml:space="preserve">The Solar Associations appreciate the complexity of the task before the Commission and its Staff to develop one or more new reliability standards for ERCOT. The need to replace outdated reliability metrics with new measures to reflect the changing grid is not unique to ERCOT, and is a topic that market experts have been thinking about how to solve. We </w:t>
      </w:r>
      <w:r w:rsidR="003F10FB" w:rsidRPr="003F10FB">
        <w:rPr>
          <w:rFonts w:ascii="Arial" w:eastAsia="Arial" w:hAnsi="Arial" w:cs="Arial"/>
          <w:color w:val="000000"/>
          <w:sz w:val="24"/>
          <w:szCs w:val="24"/>
        </w:rPr>
        <w:t>recommend the Commission and its Staff review and incorporate principles from a</w:t>
      </w:r>
      <w:r w:rsidR="003F10FB" w:rsidRPr="003F10FB">
        <w:rPr>
          <w:rFonts w:ascii="Arial" w:hAnsi="Arial" w:cs="Arial"/>
          <w:sz w:val="24"/>
          <w:szCs w:val="24"/>
        </w:rPr>
        <w:t xml:space="preserve"> 2021 report by Energy Systems Integration Group (ESIG), </w:t>
      </w:r>
      <w:r w:rsidR="003F10FB" w:rsidRPr="003F10FB">
        <w:rPr>
          <w:rFonts w:ascii="Arial" w:hAnsi="Arial" w:cs="Arial"/>
          <w:i/>
          <w:iCs/>
          <w:sz w:val="24"/>
          <w:szCs w:val="24"/>
        </w:rPr>
        <w:t>Redefining Resource Adequacy for Modern Power System.</w:t>
      </w:r>
      <w:r w:rsidR="003F10FB" w:rsidRPr="003F10FB">
        <w:rPr>
          <w:rStyle w:val="FootnoteReference"/>
          <w:rFonts w:ascii="Arial" w:hAnsi="Arial" w:cs="Arial"/>
          <w:sz w:val="24"/>
          <w:szCs w:val="24"/>
        </w:rPr>
        <w:footnoteReference w:id="2"/>
      </w:r>
      <w:r w:rsidR="003F10FB" w:rsidRPr="003F10FB">
        <w:rPr>
          <w:rFonts w:ascii="Arial" w:hAnsi="Arial" w:cs="Arial"/>
          <w:sz w:val="24"/>
          <w:szCs w:val="24"/>
        </w:rPr>
        <w:t xml:space="preserve"> </w:t>
      </w:r>
      <w:r w:rsidR="003F10FB">
        <w:rPr>
          <w:rFonts w:ascii="Arial" w:hAnsi="Arial" w:cs="Arial"/>
          <w:sz w:val="24"/>
          <w:szCs w:val="24"/>
        </w:rPr>
        <w:t>It appears that ERCOT has already taken some steps in the right direction by considering magnitude, frequency, and duration as variables that all must be included in its analysis, which is included as an initial principle in the ESIG report</w:t>
      </w:r>
      <w:r w:rsidR="00794EBE">
        <w:rPr>
          <w:rFonts w:ascii="Arial" w:hAnsi="Arial" w:cs="Arial"/>
          <w:sz w:val="24"/>
          <w:szCs w:val="24"/>
        </w:rPr>
        <w:t>, but there are several other principles that should be included that we will discuss in greater detail below</w:t>
      </w:r>
      <w:r w:rsidR="003F10FB">
        <w:rPr>
          <w:rFonts w:ascii="Arial" w:hAnsi="Arial" w:cs="Arial"/>
          <w:sz w:val="24"/>
          <w:szCs w:val="24"/>
        </w:rPr>
        <w:t xml:space="preserve">. </w:t>
      </w:r>
    </w:p>
    <w:p w14:paraId="5FB5B6B4" w14:textId="791E29D5" w:rsidR="007B3DE4" w:rsidRPr="007B3DE4" w:rsidRDefault="000D7517" w:rsidP="003D4A83">
      <w:pPr>
        <w:pBdr>
          <w:top w:val="nil"/>
          <w:left w:val="nil"/>
          <w:bottom w:val="nil"/>
          <w:right w:val="nil"/>
          <w:between w:val="nil"/>
        </w:pBdr>
        <w:spacing w:line="480" w:lineRule="auto"/>
        <w:ind w:firstLine="720"/>
        <w:rPr>
          <w:rFonts w:ascii="Arial" w:hAnsi="Arial" w:cs="Arial"/>
          <w:sz w:val="24"/>
          <w:szCs w:val="24"/>
        </w:rPr>
      </w:pPr>
      <w:r>
        <w:rPr>
          <w:rFonts w:ascii="Arial" w:hAnsi="Arial" w:cs="Arial"/>
          <w:sz w:val="24"/>
          <w:szCs w:val="24"/>
        </w:rPr>
        <w:t>The modern grid has rapidly evolved from traditional capacity planning based on peak hours provided by thermal generating units</w:t>
      </w:r>
      <w:r w:rsidR="00077E34">
        <w:rPr>
          <w:rFonts w:ascii="Arial" w:hAnsi="Arial" w:cs="Arial"/>
          <w:sz w:val="24"/>
          <w:szCs w:val="24"/>
        </w:rPr>
        <w:t xml:space="preserve"> to a more diverse resource mix</w:t>
      </w:r>
      <w:r>
        <w:rPr>
          <w:rFonts w:ascii="Arial" w:hAnsi="Arial" w:cs="Arial"/>
          <w:sz w:val="24"/>
          <w:szCs w:val="24"/>
        </w:rPr>
        <w:t xml:space="preserve">.  Reliability planning today must incorporate the changing resource mix from renewable resources, energy-limited resources, and load flexibility. </w:t>
      </w:r>
      <w:r w:rsidR="00682A83">
        <w:rPr>
          <w:rFonts w:ascii="Arial" w:hAnsi="Arial" w:cs="Arial"/>
          <w:sz w:val="24"/>
          <w:szCs w:val="24"/>
        </w:rPr>
        <w:t>SEIA and TSPA</w:t>
      </w:r>
      <w:r w:rsidR="003F10FB" w:rsidRPr="003F10FB">
        <w:rPr>
          <w:rFonts w:ascii="Arial" w:hAnsi="Arial" w:cs="Arial"/>
          <w:sz w:val="24"/>
          <w:szCs w:val="24"/>
        </w:rPr>
        <w:t xml:space="preserve"> emphasize </w:t>
      </w:r>
      <w:r w:rsidR="003F5B7A">
        <w:rPr>
          <w:rFonts w:ascii="Arial" w:hAnsi="Arial" w:cs="Arial"/>
          <w:sz w:val="24"/>
          <w:szCs w:val="24"/>
        </w:rPr>
        <w:t xml:space="preserve">that regulators </w:t>
      </w:r>
      <w:r w:rsidR="00295CB5">
        <w:rPr>
          <w:rFonts w:ascii="Arial" w:hAnsi="Arial" w:cs="Arial"/>
          <w:sz w:val="24"/>
          <w:szCs w:val="24"/>
        </w:rPr>
        <w:t xml:space="preserve">should </w:t>
      </w:r>
      <w:r>
        <w:rPr>
          <w:rFonts w:ascii="Arial" w:hAnsi="Arial" w:cs="Arial"/>
          <w:sz w:val="24"/>
          <w:szCs w:val="24"/>
        </w:rPr>
        <w:t>consider</w:t>
      </w:r>
      <w:r w:rsidR="003F10FB" w:rsidRPr="003F10FB">
        <w:rPr>
          <w:rFonts w:ascii="Arial" w:hAnsi="Arial" w:cs="Arial"/>
          <w:sz w:val="24"/>
          <w:szCs w:val="24"/>
        </w:rPr>
        <w:t xml:space="preserve"> </w:t>
      </w:r>
      <w:r w:rsidR="00EB729B">
        <w:rPr>
          <w:rFonts w:ascii="Arial" w:hAnsi="Arial" w:cs="Arial"/>
          <w:sz w:val="24"/>
          <w:szCs w:val="24"/>
        </w:rPr>
        <w:t xml:space="preserve">all supply side and </w:t>
      </w:r>
      <w:r w:rsidR="003F10FB" w:rsidRPr="003F10FB">
        <w:rPr>
          <w:rFonts w:ascii="Arial" w:hAnsi="Arial" w:cs="Arial"/>
          <w:sz w:val="24"/>
          <w:szCs w:val="24"/>
        </w:rPr>
        <w:t xml:space="preserve">demand-side resources </w:t>
      </w:r>
      <w:r w:rsidR="007B3DE4">
        <w:rPr>
          <w:rFonts w:ascii="Arial" w:hAnsi="Arial" w:cs="Arial"/>
          <w:sz w:val="24"/>
          <w:szCs w:val="24"/>
        </w:rPr>
        <w:t xml:space="preserve">in </w:t>
      </w:r>
      <w:r>
        <w:rPr>
          <w:rFonts w:ascii="Arial" w:hAnsi="Arial" w:cs="Arial"/>
          <w:sz w:val="24"/>
          <w:szCs w:val="24"/>
        </w:rPr>
        <w:t xml:space="preserve">both </w:t>
      </w:r>
      <w:r w:rsidR="003B72DA">
        <w:rPr>
          <w:rFonts w:ascii="Arial" w:hAnsi="Arial" w:cs="Arial"/>
          <w:sz w:val="24"/>
          <w:szCs w:val="24"/>
        </w:rPr>
        <w:t>determining capacity needs and in developing</w:t>
      </w:r>
      <w:r w:rsidR="00195523">
        <w:rPr>
          <w:rFonts w:ascii="Arial" w:hAnsi="Arial" w:cs="Arial"/>
          <w:sz w:val="24"/>
          <w:szCs w:val="24"/>
        </w:rPr>
        <w:t xml:space="preserve"> </w:t>
      </w:r>
      <w:r w:rsidR="003F10FB" w:rsidRPr="003F10FB">
        <w:rPr>
          <w:rFonts w:ascii="Arial" w:hAnsi="Arial" w:cs="Arial"/>
          <w:sz w:val="24"/>
          <w:szCs w:val="24"/>
        </w:rPr>
        <w:t>potential solutions to reliability problems</w:t>
      </w:r>
      <w:r w:rsidR="007B3DE4">
        <w:rPr>
          <w:rFonts w:ascii="Arial" w:hAnsi="Arial" w:cs="Arial"/>
          <w:sz w:val="24"/>
          <w:szCs w:val="24"/>
        </w:rPr>
        <w:t>.</w:t>
      </w:r>
      <w:r w:rsidR="00295CB5">
        <w:rPr>
          <w:rFonts w:ascii="Arial" w:hAnsi="Arial" w:cs="Arial"/>
          <w:sz w:val="24"/>
          <w:szCs w:val="24"/>
        </w:rPr>
        <w:t xml:space="preserve"> </w:t>
      </w:r>
    </w:p>
    <w:p w14:paraId="01E8A99D" w14:textId="123BEEBB" w:rsidR="00C67BC3" w:rsidRDefault="007B3DE4" w:rsidP="00682A83">
      <w:pPr>
        <w:pBdr>
          <w:top w:val="nil"/>
          <w:left w:val="nil"/>
          <w:bottom w:val="nil"/>
          <w:right w:val="nil"/>
          <w:between w:val="nil"/>
        </w:pBdr>
        <w:spacing w:line="480" w:lineRule="auto"/>
        <w:ind w:firstLine="720"/>
        <w:rPr>
          <w:rFonts w:ascii="Arial" w:hAnsi="Arial" w:cs="Arial"/>
          <w:sz w:val="24"/>
          <w:szCs w:val="24"/>
        </w:rPr>
      </w:pPr>
      <w:r>
        <w:rPr>
          <w:rFonts w:ascii="Arial" w:hAnsi="Arial" w:cs="Arial"/>
          <w:sz w:val="24"/>
          <w:szCs w:val="24"/>
        </w:rPr>
        <w:t>In addition</w:t>
      </w:r>
      <w:r w:rsidR="003F10FB" w:rsidRPr="003F10FB">
        <w:rPr>
          <w:rFonts w:ascii="Arial" w:hAnsi="Arial" w:cs="Arial"/>
          <w:sz w:val="24"/>
          <w:szCs w:val="24"/>
        </w:rPr>
        <w:t>,</w:t>
      </w:r>
      <w:r>
        <w:rPr>
          <w:rFonts w:ascii="Arial" w:hAnsi="Arial" w:cs="Arial"/>
          <w:sz w:val="24"/>
          <w:szCs w:val="24"/>
        </w:rPr>
        <w:t xml:space="preserve"> the reliability study should clearly identify the costs associated with various reliability targets.  </w:t>
      </w:r>
      <w:r w:rsidR="007741D4">
        <w:rPr>
          <w:rFonts w:ascii="Arial" w:hAnsi="Arial" w:cs="Arial"/>
          <w:sz w:val="24"/>
          <w:szCs w:val="24"/>
        </w:rPr>
        <w:t>The C</w:t>
      </w:r>
      <w:r>
        <w:rPr>
          <w:rFonts w:ascii="Arial" w:hAnsi="Arial" w:cs="Arial"/>
          <w:sz w:val="24"/>
          <w:szCs w:val="24"/>
        </w:rPr>
        <w:t xml:space="preserve">ommission will necessarily have to make a policy </w:t>
      </w:r>
      <w:r>
        <w:rPr>
          <w:rFonts w:ascii="Arial" w:hAnsi="Arial" w:cs="Arial"/>
          <w:sz w:val="24"/>
          <w:szCs w:val="24"/>
        </w:rPr>
        <w:lastRenderedPageBreak/>
        <w:t xml:space="preserve">decision regarding the costs and value under various </w:t>
      </w:r>
      <w:r w:rsidR="003D4A83">
        <w:rPr>
          <w:rFonts w:ascii="Arial" w:hAnsi="Arial" w:cs="Arial"/>
          <w:sz w:val="24"/>
          <w:szCs w:val="24"/>
        </w:rPr>
        <w:t>reliability targets</w:t>
      </w:r>
      <w:r>
        <w:rPr>
          <w:rFonts w:ascii="Arial" w:hAnsi="Arial" w:cs="Arial"/>
          <w:sz w:val="24"/>
          <w:szCs w:val="24"/>
        </w:rPr>
        <w:t xml:space="preserve">.  </w:t>
      </w:r>
      <w:r w:rsidR="003D4A83">
        <w:rPr>
          <w:rFonts w:ascii="Arial" w:hAnsi="Arial" w:cs="Arial"/>
          <w:sz w:val="24"/>
          <w:szCs w:val="24"/>
        </w:rPr>
        <w:t xml:space="preserve">While the </w:t>
      </w:r>
      <w:r w:rsidR="003F5B7A">
        <w:rPr>
          <w:rFonts w:ascii="Arial" w:hAnsi="Arial" w:cs="Arial"/>
          <w:sz w:val="24"/>
          <w:szCs w:val="24"/>
        </w:rPr>
        <w:t>survey on value of lost load can help inform</w:t>
      </w:r>
      <w:r w:rsidR="003B72DA">
        <w:rPr>
          <w:rFonts w:ascii="Arial" w:hAnsi="Arial" w:cs="Arial"/>
          <w:sz w:val="24"/>
          <w:szCs w:val="24"/>
        </w:rPr>
        <w:t xml:space="preserve"> </w:t>
      </w:r>
      <w:r w:rsidR="003D4A83">
        <w:rPr>
          <w:rFonts w:ascii="Arial" w:hAnsi="Arial" w:cs="Arial"/>
          <w:sz w:val="24"/>
          <w:szCs w:val="24"/>
        </w:rPr>
        <w:t xml:space="preserve">decisions, cost transparency is essential </w:t>
      </w:r>
      <w:r w:rsidR="003F10FB" w:rsidRPr="003F10FB">
        <w:rPr>
          <w:rFonts w:ascii="Arial" w:hAnsi="Arial" w:cs="Arial"/>
          <w:sz w:val="24"/>
          <w:szCs w:val="24"/>
        </w:rPr>
        <w:t xml:space="preserve">for the Commission </w:t>
      </w:r>
      <w:r w:rsidR="003D4A83">
        <w:rPr>
          <w:rFonts w:ascii="Arial" w:hAnsi="Arial" w:cs="Arial"/>
          <w:sz w:val="24"/>
          <w:szCs w:val="24"/>
        </w:rPr>
        <w:t>to</w:t>
      </w:r>
      <w:r w:rsidR="003F10FB" w:rsidRPr="003F10FB">
        <w:rPr>
          <w:rFonts w:ascii="Arial" w:hAnsi="Arial" w:cs="Arial"/>
          <w:sz w:val="24"/>
          <w:szCs w:val="24"/>
        </w:rPr>
        <w:t xml:space="preserve"> balance the interests of the public</w:t>
      </w:r>
      <w:r w:rsidR="00794EBE">
        <w:rPr>
          <w:rFonts w:ascii="Arial" w:hAnsi="Arial" w:cs="Arial"/>
          <w:sz w:val="24"/>
          <w:szCs w:val="24"/>
        </w:rPr>
        <w:t xml:space="preserve"> </w:t>
      </w:r>
      <w:r w:rsidR="003F10FB" w:rsidRPr="003F10FB">
        <w:rPr>
          <w:rFonts w:ascii="Arial" w:hAnsi="Arial" w:cs="Arial"/>
          <w:sz w:val="24"/>
          <w:szCs w:val="24"/>
        </w:rPr>
        <w:t xml:space="preserve">and other stakeholders </w:t>
      </w:r>
      <w:r w:rsidR="003D4A83">
        <w:rPr>
          <w:rFonts w:ascii="Arial" w:hAnsi="Arial" w:cs="Arial"/>
          <w:sz w:val="24"/>
          <w:szCs w:val="24"/>
        </w:rPr>
        <w:t>in achieving a</w:t>
      </w:r>
      <w:r w:rsidR="003F10FB" w:rsidRPr="003F10FB">
        <w:rPr>
          <w:rFonts w:ascii="Arial" w:hAnsi="Arial" w:cs="Arial"/>
          <w:sz w:val="24"/>
          <w:szCs w:val="24"/>
        </w:rPr>
        <w:t xml:space="preserve"> reasonable amount of reliability for a</w:t>
      </w:r>
      <w:r w:rsidR="003F5B7A">
        <w:rPr>
          <w:rFonts w:ascii="Arial" w:hAnsi="Arial" w:cs="Arial"/>
          <w:sz w:val="24"/>
          <w:szCs w:val="24"/>
        </w:rPr>
        <w:t>n</w:t>
      </w:r>
      <w:r w:rsidR="003F10FB" w:rsidRPr="003F10FB">
        <w:rPr>
          <w:rFonts w:ascii="Arial" w:hAnsi="Arial" w:cs="Arial"/>
          <w:sz w:val="24"/>
          <w:szCs w:val="24"/>
        </w:rPr>
        <w:t xml:space="preserve"> </w:t>
      </w:r>
      <w:r w:rsidR="003F5B7A">
        <w:rPr>
          <w:rFonts w:ascii="Arial" w:hAnsi="Arial" w:cs="Arial"/>
          <w:sz w:val="24"/>
          <w:szCs w:val="24"/>
        </w:rPr>
        <w:t xml:space="preserve">affordable and </w:t>
      </w:r>
      <w:r w:rsidR="003F10FB" w:rsidRPr="003F10FB">
        <w:rPr>
          <w:rFonts w:ascii="Arial" w:hAnsi="Arial" w:cs="Arial"/>
          <w:sz w:val="24"/>
          <w:szCs w:val="24"/>
        </w:rPr>
        <w:t>reasonable cost</w:t>
      </w:r>
      <w:r w:rsidR="00511CC3">
        <w:rPr>
          <w:rFonts w:ascii="Arial" w:hAnsi="Arial" w:cs="Arial"/>
          <w:sz w:val="24"/>
          <w:szCs w:val="24"/>
        </w:rPr>
        <w:t>.</w:t>
      </w:r>
    </w:p>
    <w:p w14:paraId="15BB003F" w14:textId="77777777" w:rsidR="006F459B" w:rsidRPr="003F10FB" w:rsidRDefault="006F459B" w:rsidP="00682A83">
      <w:pPr>
        <w:pBdr>
          <w:top w:val="nil"/>
          <w:left w:val="nil"/>
          <w:bottom w:val="nil"/>
          <w:right w:val="nil"/>
          <w:between w:val="nil"/>
        </w:pBdr>
        <w:spacing w:line="480" w:lineRule="auto"/>
        <w:ind w:firstLine="720"/>
        <w:rPr>
          <w:rFonts w:ascii="Arial" w:hAnsi="Arial" w:cs="Arial"/>
          <w:sz w:val="24"/>
          <w:szCs w:val="24"/>
        </w:rPr>
      </w:pPr>
    </w:p>
    <w:p w14:paraId="02E33664" w14:textId="42F705B6" w:rsidR="00C67BC3" w:rsidRPr="00F12120" w:rsidRDefault="006F459B" w:rsidP="00F12120">
      <w:pPr>
        <w:pStyle w:val="ListParagraph"/>
        <w:numPr>
          <w:ilvl w:val="0"/>
          <w:numId w:val="9"/>
        </w:numPr>
        <w:spacing w:line="480" w:lineRule="auto"/>
        <w:ind w:left="360" w:hanging="360"/>
        <w:jc w:val="center"/>
        <w:rPr>
          <w:rFonts w:ascii="Arial" w:hAnsi="Arial" w:cs="Arial"/>
          <w:b/>
          <w:sz w:val="24"/>
          <w:szCs w:val="24"/>
        </w:rPr>
      </w:pPr>
      <w:r w:rsidRPr="00F12120">
        <w:rPr>
          <w:rFonts w:ascii="Arial" w:hAnsi="Arial" w:cs="Arial"/>
          <w:b/>
          <w:sz w:val="24"/>
          <w:szCs w:val="24"/>
        </w:rPr>
        <w:t>RESPONSE TO STAFF QUESTIONS</w:t>
      </w:r>
    </w:p>
    <w:p w14:paraId="3A585E99" w14:textId="22DF0DE1" w:rsidR="00585FE1" w:rsidRDefault="00275706" w:rsidP="009A1974">
      <w:pPr>
        <w:pStyle w:val="ListParagraph"/>
        <w:numPr>
          <w:ilvl w:val="0"/>
          <w:numId w:val="4"/>
        </w:numPr>
        <w:spacing w:after="240"/>
        <w:ind w:left="720" w:hanging="720"/>
        <w:rPr>
          <w:rFonts w:ascii="Arial" w:hAnsi="Arial" w:cs="Arial"/>
          <w:b/>
          <w:bCs/>
          <w:sz w:val="24"/>
          <w:szCs w:val="24"/>
        </w:rPr>
      </w:pPr>
      <w:r w:rsidRPr="003F10FB">
        <w:rPr>
          <w:rFonts w:ascii="Arial" w:hAnsi="Arial" w:cs="Arial"/>
          <w:b/>
          <w:bCs/>
          <w:sz w:val="24"/>
          <w:szCs w:val="24"/>
        </w:rPr>
        <w:t xml:space="preserve">Commission has previously considered various reliability metrics, such as Loss of Load Expectation (LOLE), Loss of Load Hours (LOLH), and Expected Unserved Energy (EUE). Which reliability metrics, including those not previously studied, should the Commission consider in establishing a reliability standard for the ERCOT power region? Which reliability metric, or combination of reliability metrics, should the Commission adopt for the reliability standard in ERCOT? What are the advantages of your chosen reliability metrics, and what are the disadvantages of alternative approaches? </w:t>
      </w:r>
    </w:p>
    <w:p w14:paraId="74B3424F" w14:textId="77777777" w:rsidR="00585FE1" w:rsidRDefault="00585FE1" w:rsidP="00585FE1">
      <w:pPr>
        <w:pStyle w:val="ListParagraph"/>
        <w:spacing w:after="240"/>
        <w:ind w:left="360"/>
        <w:rPr>
          <w:rFonts w:ascii="Arial" w:hAnsi="Arial" w:cs="Arial"/>
          <w:b/>
          <w:bCs/>
          <w:sz w:val="24"/>
          <w:szCs w:val="24"/>
        </w:rPr>
      </w:pPr>
    </w:p>
    <w:p w14:paraId="288C1CC4" w14:textId="6B31E88C" w:rsidR="00511CC3" w:rsidRPr="00585FE1" w:rsidRDefault="00733019" w:rsidP="006F459B">
      <w:pPr>
        <w:spacing w:after="240" w:line="480" w:lineRule="auto"/>
        <w:ind w:firstLine="720"/>
        <w:rPr>
          <w:rFonts w:ascii="Arial" w:hAnsi="Arial" w:cs="Arial"/>
          <w:b/>
          <w:bCs/>
          <w:sz w:val="24"/>
          <w:szCs w:val="24"/>
        </w:rPr>
      </w:pPr>
      <w:r w:rsidRPr="00585FE1">
        <w:rPr>
          <w:rFonts w:ascii="Arial" w:hAnsi="Arial" w:cs="Arial"/>
          <w:sz w:val="24"/>
          <w:szCs w:val="24"/>
        </w:rPr>
        <w:t xml:space="preserve">Solar Associations encourage the Commission to evaluate multiple metrics </w:t>
      </w:r>
      <w:r w:rsidR="009E0E7A" w:rsidRPr="00585FE1">
        <w:rPr>
          <w:rFonts w:ascii="Arial" w:hAnsi="Arial" w:cs="Arial"/>
          <w:sz w:val="24"/>
          <w:szCs w:val="24"/>
        </w:rPr>
        <w:t xml:space="preserve">and avoid overreliance on </w:t>
      </w:r>
      <w:r w:rsidR="007075E8" w:rsidRPr="00585FE1">
        <w:rPr>
          <w:rFonts w:ascii="Arial" w:hAnsi="Arial" w:cs="Arial"/>
          <w:sz w:val="24"/>
          <w:szCs w:val="24"/>
        </w:rPr>
        <w:t xml:space="preserve">a </w:t>
      </w:r>
      <w:r w:rsidR="009E0E7A" w:rsidRPr="00585FE1">
        <w:rPr>
          <w:rFonts w:ascii="Arial" w:hAnsi="Arial" w:cs="Arial"/>
          <w:sz w:val="24"/>
          <w:szCs w:val="24"/>
        </w:rPr>
        <w:t>single metric</w:t>
      </w:r>
      <w:r w:rsidR="00550985" w:rsidRPr="00585FE1">
        <w:rPr>
          <w:rFonts w:ascii="Arial" w:hAnsi="Arial" w:cs="Arial"/>
          <w:sz w:val="24"/>
          <w:szCs w:val="24"/>
        </w:rPr>
        <w:t xml:space="preserve">. </w:t>
      </w:r>
      <w:r w:rsidR="00C06CB5" w:rsidRPr="00585FE1">
        <w:rPr>
          <w:rFonts w:ascii="Arial" w:hAnsi="Arial" w:cs="Arial"/>
          <w:sz w:val="24"/>
          <w:szCs w:val="24"/>
        </w:rPr>
        <w:t xml:space="preserve">Each of the metrics staff mentions in its question </w:t>
      </w:r>
      <w:r w:rsidR="000C4C89" w:rsidRPr="00585FE1">
        <w:rPr>
          <w:rFonts w:ascii="Arial" w:hAnsi="Arial" w:cs="Arial"/>
          <w:sz w:val="24"/>
          <w:szCs w:val="24"/>
        </w:rPr>
        <w:t xml:space="preserve">can be useful in highlighting certain aspects of </w:t>
      </w:r>
      <w:r w:rsidR="004D1792" w:rsidRPr="00585FE1">
        <w:rPr>
          <w:rFonts w:ascii="Arial" w:hAnsi="Arial" w:cs="Arial"/>
          <w:sz w:val="24"/>
          <w:szCs w:val="24"/>
        </w:rPr>
        <w:t xml:space="preserve">a system’s </w:t>
      </w:r>
      <w:r w:rsidR="000C4C89" w:rsidRPr="00585FE1">
        <w:rPr>
          <w:rFonts w:ascii="Arial" w:hAnsi="Arial" w:cs="Arial"/>
          <w:sz w:val="24"/>
          <w:szCs w:val="24"/>
        </w:rPr>
        <w:t>reliability risk</w:t>
      </w:r>
      <w:r w:rsidR="008F4DF6" w:rsidRPr="00585FE1">
        <w:rPr>
          <w:rFonts w:ascii="Arial" w:hAnsi="Arial" w:cs="Arial"/>
          <w:sz w:val="24"/>
          <w:szCs w:val="24"/>
        </w:rPr>
        <w:t>.</w:t>
      </w:r>
      <w:r w:rsidR="00614CB3" w:rsidRPr="00585FE1">
        <w:rPr>
          <w:rFonts w:ascii="Arial" w:hAnsi="Arial" w:cs="Arial"/>
          <w:sz w:val="24"/>
          <w:szCs w:val="24"/>
        </w:rPr>
        <w:t xml:space="preserve"> F</w:t>
      </w:r>
      <w:r w:rsidR="008F4DF6" w:rsidRPr="00585FE1">
        <w:rPr>
          <w:rFonts w:ascii="Arial" w:hAnsi="Arial" w:cs="Arial"/>
          <w:sz w:val="24"/>
          <w:szCs w:val="24"/>
        </w:rPr>
        <w:t xml:space="preserve">or example, </w:t>
      </w:r>
      <w:r w:rsidR="00614CB3" w:rsidRPr="00585FE1">
        <w:rPr>
          <w:rFonts w:ascii="Arial" w:hAnsi="Arial" w:cs="Arial"/>
          <w:sz w:val="24"/>
          <w:szCs w:val="24"/>
        </w:rPr>
        <w:t xml:space="preserve">a system with a high EUE </w:t>
      </w:r>
      <w:r w:rsidR="004D1792" w:rsidRPr="00585FE1">
        <w:rPr>
          <w:rFonts w:ascii="Arial" w:hAnsi="Arial" w:cs="Arial"/>
          <w:sz w:val="24"/>
          <w:szCs w:val="24"/>
        </w:rPr>
        <w:t xml:space="preserve">faces a risk of </w:t>
      </w:r>
      <w:r w:rsidR="008F4DF6" w:rsidRPr="00585FE1">
        <w:rPr>
          <w:rFonts w:ascii="Arial" w:hAnsi="Arial" w:cs="Arial"/>
          <w:sz w:val="24"/>
          <w:szCs w:val="24"/>
        </w:rPr>
        <w:t>outages</w:t>
      </w:r>
      <w:r w:rsidR="004D1792" w:rsidRPr="00585FE1">
        <w:rPr>
          <w:rFonts w:ascii="Arial" w:hAnsi="Arial" w:cs="Arial"/>
          <w:sz w:val="24"/>
          <w:szCs w:val="24"/>
        </w:rPr>
        <w:t xml:space="preserve"> that are large in magnitude</w:t>
      </w:r>
      <w:r w:rsidR="008F4DF6" w:rsidRPr="00585FE1">
        <w:rPr>
          <w:rFonts w:ascii="Arial" w:hAnsi="Arial" w:cs="Arial"/>
          <w:sz w:val="24"/>
          <w:szCs w:val="24"/>
        </w:rPr>
        <w:t>.</w:t>
      </w:r>
      <w:r w:rsidR="00E74113" w:rsidRPr="00585FE1">
        <w:rPr>
          <w:rFonts w:ascii="Arial" w:hAnsi="Arial" w:cs="Arial"/>
          <w:sz w:val="24"/>
          <w:szCs w:val="24"/>
        </w:rPr>
        <w:t xml:space="preserve"> </w:t>
      </w:r>
      <w:r w:rsidR="00BC7B41" w:rsidRPr="00585FE1">
        <w:rPr>
          <w:rFonts w:ascii="Arial" w:hAnsi="Arial" w:cs="Arial"/>
          <w:sz w:val="24"/>
          <w:szCs w:val="24"/>
        </w:rPr>
        <w:t xml:space="preserve">However, </w:t>
      </w:r>
      <w:r w:rsidR="00E00DF5" w:rsidRPr="00585FE1">
        <w:rPr>
          <w:rFonts w:ascii="Arial" w:hAnsi="Arial" w:cs="Arial"/>
          <w:sz w:val="24"/>
          <w:szCs w:val="24"/>
        </w:rPr>
        <w:t xml:space="preserve">use of a single metric can mask other aspects of reliability risk. For example, </w:t>
      </w:r>
      <w:r w:rsidR="00676E5E" w:rsidRPr="00585FE1">
        <w:rPr>
          <w:rFonts w:ascii="Arial" w:hAnsi="Arial" w:cs="Arial"/>
          <w:sz w:val="24"/>
          <w:szCs w:val="24"/>
        </w:rPr>
        <w:t xml:space="preserve">if a system </w:t>
      </w:r>
      <w:r w:rsidR="000B5FC9" w:rsidRPr="00585FE1">
        <w:rPr>
          <w:rFonts w:ascii="Arial" w:hAnsi="Arial" w:cs="Arial"/>
          <w:sz w:val="24"/>
          <w:szCs w:val="24"/>
        </w:rPr>
        <w:t>with a high EUE</w:t>
      </w:r>
      <w:r w:rsidR="004261FF" w:rsidRPr="00585FE1">
        <w:rPr>
          <w:rFonts w:ascii="Arial" w:hAnsi="Arial" w:cs="Arial"/>
          <w:sz w:val="24"/>
          <w:szCs w:val="24"/>
        </w:rPr>
        <w:t xml:space="preserve"> and</w:t>
      </w:r>
      <w:r w:rsidR="000B5FC9" w:rsidRPr="00585FE1">
        <w:rPr>
          <w:rFonts w:ascii="Arial" w:hAnsi="Arial" w:cs="Arial"/>
          <w:sz w:val="24"/>
          <w:szCs w:val="24"/>
        </w:rPr>
        <w:t xml:space="preserve"> also a very low LOLE </w:t>
      </w:r>
      <w:r w:rsidR="00FE0A69" w:rsidRPr="00585FE1">
        <w:rPr>
          <w:rFonts w:ascii="Arial" w:hAnsi="Arial" w:cs="Arial"/>
          <w:sz w:val="24"/>
          <w:szCs w:val="24"/>
        </w:rPr>
        <w:t>(</w:t>
      </w:r>
      <w:r w:rsidR="000B5FC9" w:rsidRPr="00585FE1">
        <w:rPr>
          <w:rFonts w:ascii="Arial" w:hAnsi="Arial" w:cs="Arial"/>
          <w:sz w:val="24"/>
          <w:szCs w:val="24"/>
        </w:rPr>
        <w:t>i.e.</w:t>
      </w:r>
      <w:r w:rsidR="00FE0A69" w:rsidRPr="00585FE1">
        <w:rPr>
          <w:rFonts w:ascii="Arial" w:hAnsi="Arial" w:cs="Arial"/>
          <w:sz w:val="24"/>
          <w:szCs w:val="24"/>
        </w:rPr>
        <w:t>,</w:t>
      </w:r>
      <w:r w:rsidR="000B5FC9" w:rsidRPr="00585FE1">
        <w:rPr>
          <w:rFonts w:ascii="Arial" w:hAnsi="Arial" w:cs="Arial"/>
          <w:sz w:val="24"/>
          <w:szCs w:val="24"/>
        </w:rPr>
        <w:t xml:space="preserve"> outages are very infrequent</w:t>
      </w:r>
      <w:r w:rsidR="00FE0A69" w:rsidRPr="00585FE1">
        <w:rPr>
          <w:rFonts w:ascii="Arial" w:hAnsi="Arial" w:cs="Arial"/>
          <w:sz w:val="24"/>
          <w:szCs w:val="24"/>
        </w:rPr>
        <w:t>)</w:t>
      </w:r>
      <w:r w:rsidR="00151CFE" w:rsidRPr="00585FE1">
        <w:rPr>
          <w:rFonts w:ascii="Arial" w:hAnsi="Arial" w:cs="Arial"/>
          <w:sz w:val="24"/>
          <w:szCs w:val="24"/>
        </w:rPr>
        <w:t xml:space="preserve">, then the system could still be considered acceptably reliable.  </w:t>
      </w:r>
      <w:r w:rsidR="00757B6F" w:rsidRPr="00585FE1">
        <w:rPr>
          <w:rFonts w:ascii="Arial" w:hAnsi="Arial" w:cs="Arial"/>
          <w:sz w:val="24"/>
          <w:szCs w:val="24"/>
        </w:rPr>
        <w:t xml:space="preserve">The Commission must understand all aspects of the ERCOT system’s risk in </w:t>
      </w:r>
      <w:r w:rsidR="00303EC8" w:rsidRPr="00585FE1">
        <w:rPr>
          <w:rFonts w:ascii="Arial" w:hAnsi="Arial" w:cs="Arial"/>
          <w:sz w:val="24"/>
          <w:szCs w:val="24"/>
        </w:rPr>
        <w:t xml:space="preserve">in order to evaluate whether incremental improvements </w:t>
      </w:r>
      <w:r w:rsidR="00757B6F" w:rsidRPr="00585FE1">
        <w:rPr>
          <w:rFonts w:ascii="Arial" w:hAnsi="Arial" w:cs="Arial"/>
          <w:sz w:val="24"/>
          <w:szCs w:val="24"/>
        </w:rPr>
        <w:t xml:space="preserve">to </w:t>
      </w:r>
      <w:r w:rsidR="00303EC8" w:rsidRPr="00585FE1">
        <w:rPr>
          <w:rFonts w:ascii="Arial" w:hAnsi="Arial" w:cs="Arial"/>
          <w:sz w:val="24"/>
          <w:szCs w:val="24"/>
        </w:rPr>
        <w:t xml:space="preserve">reliability are worth the </w:t>
      </w:r>
      <w:r w:rsidR="004261FF" w:rsidRPr="00585FE1">
        <w:rPr>
          <w:rFonts w:ascii="Arial" w:hAnsi="Arial" w:cs="Arial"/>
          <w:sz w:val="24"/>
          <w:szCs w:val="24"/>
        </w:rPr>
        <w:t xml:space="preserve">additional </w:t>
      </w:r>
      <w:r w:rsidR="00303EC8" w:rsidRPr="00585FE1">
        <w:rPr>
          <w:rFonts w:ascii="Arial" w:hAnsi="Arial" w:cs="Arial"/>
          <w:sz w:val="24"/>
          <w:szCs w:val="24"/>
        </w:rPr>
        <w:t xml:space="preserve">cost. </w:t>
      </w:r>
    </w:p>
    <w:p w14:paraId="5FE0906A" w14:textId="73D0CEEB" w:rsidR="00C728F7" w:rsidRDefault="003F5B7A" w:rsidP="007F6807">
      <w:pPr>
        <w:spacing w:line="480" w:lineRule="auto"/>
        <w:ind w:firstLine="720"/>
        <w:rPr>
          <w:rFonts w:ascii="Arial" w:hAnsi="Arial" w:cs="Arial"/>
          <w:sz w:val="24"/>
          <w:szCs w:val="24"/>
        </w:rPr>
      </w:pPr>
      <w:r>
        <w:rPr>
          <w:rFonts w:ascii="Arial" w:hAnsi="Arial" w:cs="Arial"/>
          <w:sz w:val="24"/>
          <w:szCs w:val="24"/>
        </w:rPr>
        <w:lastRenderedPageBreak/>
        <w:t>Solar Associations have</w:t>
      </w:r>
      <w:r w:rsidRPr="003F10FB">
        <w:rPr>
          <w:rFonts w:ascii="Arial" w:hAnsi="Arial" w:cs="Arial"/>
          <w:sz w:val="24"/>
          <w:szCs w:val="24"/>
        </w:rPr>
        <w:t xml:space="preserve"> review</w:t>
      </w:r>
      <w:r>
        <w:rPr>
          <w:rFonts w:ascii="Arial" w:hAnsi="Arial" w:cs="Arial"/>
          <w:sz w:val="24"/>
          <w:szCs w:val="24"/>
        </w:rPr>
        <w:t>ed</w:t>
      </w:r>
      <w:r w:rsidRPr="003F10FB">
        <w:rPr>
          <w:rFonts w:ascii="Arial" w:hAnsi="Arial" w:cs="Arial"/>
          <w:sz w:val="24"/>
          <w:szCs w:val="24"/>
        </w:rPr>
        <w:t xml:space="preserve"> the concept document that ERCOT Staff presented at a recent stakeholder workshop,</w:t>
      </w:r>
      <w:r w:rsidRPr="003F10FB">
        <w:rPr>
          <w:rStyle w:val="FootnoteReference"/>
          <w:rFonts w:ascii="Arial" w:hAnsi="Arial" w:cs="Arial"/>
          <w:sz w:val="24"/>
          <w:szCs w:val="24"/>
        </w:rPr>
        <w:footnoteReference w:id="3"/>
      </w:r>
      <w:r w:rsidRPr="003F10FB">
        <w:rPr>
          <w:rFonts w:ascii="Arial" w:hAnsi="Arial" w:cs="Arial"/>
          <w:sz w:val="24"/>
          <w:szCs w:val="24"/>
        </w:rPr>
        <w:t xml:space="preserve"> </w:t>
      </w:r>
      <w:r>
        <w:rPr>
          <w:rFonts w:ascii="Arial" w:hAnsi="Arial" w:cs="Arial"/>
          <w:sz w:val="24"/>
          <w:szCs w:val="24"/>
        </w:rPr>
        <w:t xml:space="preserve">and </w:t>
      </w:r>
      <w:r w:rsidRPr="003F10FB">
        <w:rPr>
          <w:rFonts w:ascii="Arial" w:hAnsi="Arial" w:cs="Arial"/>
          <w:sz w:val="24"/>
          <w:szCs w:val="24"/>
        </w:rPr>
        <w:t xml:space="preserve">it appears that ERCOT Staff is </w:t>
      </w:r>
      <w:r>
        <w:rPr>
          <w:rFonts w:ascii="Arial" w:hAnsi="Arial" w:cs="Arial"/>
          <w:sz w:val="24"/>
          <w:szCs w:val="24"/>
        </w:rPr>
        <w:t>headed in the right direction</w:t>
      </w:r>
      <w:r w:rsidR="00682A83">
        <w:rPr>
          <w:rFonts w:ascii="Arial" w:hAnsi="Arial" w:cs="Arial"/>
          <w:sz w:val="24"/>
          <w:szCs w:val="24"/>
        </w:rPr>
        <w:t>: considering multiple variables</w:t>
      </w:r>
      <w:r>
        <w:rPr>
          <w:rFonts w:ascii="Arial" w:hAnsi="Arial" w:cs="Arial"/>
          <w:sz w:val="24"/>
          <w:szCs w:val="24"/>
        </w:rPr>
        <w:t xml:space="preserve">. </w:t>
      </w:r>
      <w:r w:rsidR="00682A83">
        <w:rPr>
          <w:rFonts w:ascii="Arial" w:hAnsi="Arial" w:cs="Arial"/>
          <w:sz w:val="24"/>
          <w:szCs w:val="24"/>
        </w:rPr>
        <w:t xml:space="preserve">Specifically, </w:t>
      </w:r>
      <w:r>
        <w:rPr>
          <w:rFonts w:ascii="Arial" w:hAnsi="Arial" w:cs="Arial"/>
          <w:sz w:val="24"/>
          <w:szCs w:val="24"/>
        </w:rPr>
        <w:t xml:space="preserve">ERCOT Staff has stated that their proposed study </w:t>
      </w:r>
      <w:r w:rsidR="00682A83">
        <w:rPr>
          <w:rFonts w:ascii="Arial" w:hAnsi="Arial" w:cs="Arial"/>
          <w:sz w:val="24"/>
          <w:szCs w:val="24"/>
        </w:rPr>
        <w:t>will</w:t>
      </w:r>
      <w:r>
        <w:rPr>
          <w:rFonts w:ascii="Arial" w:hAnsi="Arial" w:cs="Arial"/>
          <w:sz w:val="24"/>
          <w:szCs w:val="24"/>
        </w:rPr>
        <w:t xml:space="preserve"> include</w:t>
      </w:r>
      <w:r w:rsidRPr="003F10FB">
        <w:rPr>
          <w:rFonts w:ascii="Arial" w:hAnsi="Arial" w:cs="Arial"/>
          <w:sz w:val="24"/>
          <w:szCs w:val="24"/>
        </w:rPr>
        <w:t xml:space="preserve"> magnitude, duration, and frequency of outages. </w:t>
      </w:r>
      <w:r w:rsidR="00E52399">
        <w:rPr>
          <w:rFonts w:ascii="Arial" w:hAnsi="Arial" w:cs="Arial"/>
          <w:sz w:val="24"/>
          <w:szCs w:val="24"/>
        </w:rPr>
        <w:t xml:space="preserve">We also support the use of EUE as an additional variable to understanding any reliability needs.  </w:t>
      </w:r>
      <w:r w:rsidR="00B738CB">
        <w:rPr>
          <w:rFonts w:ascii="Arial" w:hAnsi="Arial" w:cs="Arial"/>
          <w:sz w:val="24"/>
          <w:szCs w:val="24"/>
        </w:rPr>
        <w:t xml:space="preserve">The Commission could also consider </w:t>
      </w:r>
      <w:r w:rsidR="003A768F">
        <w:rPr>
          <w:rFonts w:ascii="Arial" w:hAnsi="Arial" w:cs="Arial"/>
          <w:sz w:val="24"/>
          <w:szCs w:val="24"/>
        </w:rPr>
        <w:t xml:space="preserve">looking </w:t>
      </w:r>
      <w:r w:rsidR="003F3CD2">
        <w:rPr>
          <w:rFonts w:ascii="Arial" w:hAnsi="Arial" w:cs="Arial"/>
          <w:sz w:val="24"/>
          <w:szCs w:val="24"/>
        </w:rPr>
        <w:t xml:space="preserve">at </w:t>
      </w:r>
      <w:r w:rsidR="00FC0303">
        <w:rPr>
          <w:rFonts w:ascii="Arial" w:hAnsi="Arial" w:cs="Arial"/>
          <w:sz w:val="24"/>
          <w:szCs w:val="24"/>
        </w:rPr>
        <w:t xml:space="preserve">the same </w:t>
      </w:r>
      <w:r w:rsidR="003A768F">
        <w:rPr>
          <w:rFonts w:ascii="Arial" w:hAnsi="Arial" w:cs="Arial"/>
          <w:sz w:val="24"/>
          <w:szCs w:val="24"/>
        </w:rPr>
        <w:t xml:space="preserve">metric </w:t>
      </w:r>
      <w:r w:rsidR="003F3CD2">
        <w:rPr>
          <w:rFonts w:ascii="Arial" w:hAnsi="Arial" w:cs="Arial"/>
          <w:sz w:val="24"/>
          <w:szCs w:val="24"/>
        </w:rPr>
        <w:t xml:space="preserve">in multiple ways by, for example, </w:t>
      </w:r>
      <w:r w:rsidR="00FC0303">
        <w:rPr>
          <w:rFonts w:ascii="Arial" w:hAnsi="Arial" w:cs="Arial"/>
          <w:sz w:val="24"/>
          <w:szCs w:val="24"/>
        </w:rPr>
        <w:t xml:space="preserve">calculating </w:t>
      </w:r>
      <w:r w:rsidR="003B6F25">
        <w:rPr>
          <w:rFonts w:ascii="Arial" w:hAnsi="Arial" w:cs="Arial"/>
          <w:sz w:val="24"/>
          <w:szCs w:val="24"/>
        </w:rPr>
        <w:t xml:space="preserve">a </w:t>
      </w:r>
      <w:r w:rsidR="00FC0303">
        <w:rPr>
          <w:rFonts w:ascii="Arial" w:hAnsi="Arial" w:cs="Arial"/>
          <w:sz w:val="24"/>
          <w:szCs w:val="24"/>
        </w:rPr>
        <w:t xml:space="preserve">seasonal </w:t>
      </w:r>
      <w:r w:rsidR="007075E8">
        <w:rPr>
          <w:rFonts w:ascii="Arial" w:hAnsi="Arial" w:cs="Arial"/>
          <w:sz w:val="24"/>
          <w:szCs w:val="24"/>
        </w:rPr>
        <w:t xml:space="preserve">version </w:t>
      </w:r>
      <w:r w:rsidR="003B6F25">
        <w:rPr>
          <w:rFonts w:ascii="Arial" w:hAnsi="Arial" w:cs="Arial"/>
          <w:sz w:val="24"/>
          <w:szCs w:val="24"/>
        </w:rPr>
        <w:t>and/</w:t>
      </w:r>
      <w:r w:rsidR="007075E8">
        <w:rPr>
          <w:rFonts w:ascii="Arial" w:hAnsi="Arial" w:cs="Arial"/>
          <w:sz w:val="24"/>
          <w:szCs w:val="24"/>
        </w:rPr>
        <w:t>or looking at outlier events rather than averaging over them.</w:t>
      </w:r>
    </w:p>
    <w:p w14:paraId="0F1A7DE0" w14:textId="74A33731" w:rsidR="00CB1393" w:rsidRDefault="00275706" w:rsidP="009A1974">
      <w:pPr>
        <w:pStyle w:val="ListParagraph"/>
        <w:numPr>
          <w:ilvl w:val="0"/>
          <w:numId w:val="4"/>
        </w:numPr>
        <w:ind w:left="720" w:hanging="720"/>
        <w:rPr>
          <w:rFonts w:ascii="Arial" w:hAnsi="Arial" w:cs="Arial"/>
          <w:b/>
          <w:bCs/>
          <w:sz w:val="24"/>
          <w:szCs w:val="24"/>
        </w:rPr>
      </w:pPr>
      <w:r w:rsidRPr="003F10FB">
        <w:rPr>
          <w:rFonts w:ascii="Arial" w:hAnsi="Arial" w:cs="Arial"/>
          <w:b/>
          <w:bCs/>
          <w:sz w:val="24"/>
          <w:szCs w:val="24"/>
        </w:rPr>
        <w:t xml:space="preserve">What is the most effective way that the Commission can include deliverability in the reliability standard? </w:t>
      </w:r>
    </w:p>
    <w:p w14:paraId="148410A1" w14:textId="77777777" w:rsidR="00CB1393" w:rsidRPr="00CB1393" w:rsidRDefault="00CB1393" w:rsidP="00CB1393">
      <w:pPr>
        <w:pStyle w:val="ListParagraph"/>
        <w:ind w:left="360"/>
        <w:rPr>
          <w:rFonts w:ascii="Arial" w:hAnsi="Arial" w:cs="Arial"/>
          <w:b/>
          <w:bCs/>
          <w:sz w:val="24"/>
          <w:szCs w:val="24"/>
        </w:rPr>
      </w:pPr>
    </w:p>
    <w:p w14:paraId="122C2A54" w14:textId="096BFECC" w:rsidR="00DE56F6" w:rsidRPr="003F10FB" w:rsidRDefault="00F02567" w:rsidP="00CB1393">
      <w:pPr>
        <w:spacing w:line="480" w:lineRule="auto"/>
        <w:ind w:firstLine="720"/>
        <w:rPr>
          <w:rFonts w:ascii="Arial" w:hAnsi="Arial" w:cs="Arial"/>
          <w:sz w:val="24"/>
          <w:szCs w:val="24"/>
        </w:rPr>
      </w:pPr>
      <w:r>
        <w:rPr>
          <w:rFonts w:ascii="Arial" w:hAnsi="Arial" w:cs="Arial"/>
          <w:sz w:val="24"/>
          <w:szCs w:val="24"/>
        </w:rPr>
        <w:t xml:space="preserve">Deliverability refers to the idea that a resource needs firm </w:t>
      </w:r>
      <w:r w:rsidR="004441DC">
        <w:rPr>
          <w:rFonts w:ascii="Arial" w:hAnsi="Arial" w:cs="Arial"/>
          <w:sz w:val="24"/>
          <w:szCs w:val="24"/>
        </w:rPr>
        <w:t>transmission service in order to contribute to resource adequacy in some circumstances. While th</w:t>
      </w:r>
      <w:r w:rsidR="00D674F8">
        <w:rPr>
          <w:rFonts w:ascii="Arial" w:hAnsi="Arial" w:cs="Arial"/>
          <w:sz w:val="24"/>
          <w:szCs w:val="24"/>
        </w:rPr>
        <w:t>e</w:t>
      </w:r>
      <w:r w:rsidR="004441DC">
        <w:rPr>
          <w:rFonts w:ascii="Arial" w:hAnsi="Arial" w:cs="Arial"/>
          <w:sz w:val="24"/>
          <w:szCs w:val="24"/>
        </w:rPr>
        <w:t xml:space="preserve"> concept </w:t>
      </w:r>
      <w:r w:rsidR="00635A62">
        <w:rPr>
          <w:rFonts w:ascii="Arial" w:hAnsi="Arial" w:cs="Arial"/>
          <w:sz w:val="24"/>
          <w:szCs w:val="24"/>
        </w:rPr>
        <w:t>of deliverability is useful for resource planning</w:t>
      </w:r>
      <w:r w:rsidR="00BA4D05">
        <w:rPr>
          <w:rFonts w:ascii="Arial" w:hAnsi="Arial" w:cs="Arial"/>
          <w:sz w:val="24"/>
          <w:szCs w:val="24"/>
        </w:rPr>
        <w:t xml:space="preserve">, </w:t>
      </w:r>
      <w:r w:rsidR="00635A62">
        <w:rPr>
          <w:rFonts w:ascii="Arial" w:hAnsi="Arial" w:cs="Arial"/>
          <w:sz w:val="24"/>
          <w:szCs w:val="24"/>
        </w:rPr>
        <w:t>it is important</w:t>
      </w:r>
      <w:r w:rsidR="00D674F8">
        <w:rPr>
          <w:rFonts w:ascii="Arial" w:hAnsi="Arial" w:cs="Arial"/>
          <w:sz w:val="24"/>
          <w:szCs w:val="24"/>
        </w:rPr>
        <w:t xml:space="preserve"> to avoid implementation of deliverability concepts that harm the market</w:t>
      </w:r>
      <w:r w:rsidR="00635A62">
        <w:rPr>
          <w:rFonts w:ascii="Arial" w:hAnsi="Arial" w:cs="Arial"/>
          <w:sz w:val="24"/>
          <w:szCs w:val="24"/>
        </w:rPr>
        <w:t>.</w:t>
      </w:r>
      <w:r w:rsidR="00C728F7">
        <w:rPr>
          <w:rFonts w:ascii="Arial" w:hAnsi="Arial" w:cs="Arial"/>
          <w:sz w:val="24"/>
          <w:szCs w:val="24"/>
        </w:rPr>
        <w:t xml:space="preserve">  </w:t>
      </w:r>
      <w:r w:rsidR="004261FF">
        <w:rPr>
          <w:rFonts w:ascii="Arial" w:hAnsi="Arial" w:cs="Arial"/>
          <w:sz w:val="24"/>
          <w:szCs w:val="24"/>
        </w:rPr>
        <w:t>While t</w:t>
      </w:r>
      <w:r w:rsidR="007B2B1D">
        <w:rPr>
          <w:rFonts w:ascii="Arial" w:hAnsi="Arial" w:cs="Arial"/>
          <w:sz w:val="24"/>
          <w:szCs w:val="24"/>
        </w:rPr>
        <w:t>ransmission is an important variable in the overall reliability of the ERCOT grid and must be considered as part of any reliability analysis</w:t>
      </w:r>
      <w:r w:rsidR="004261FF">
        <w:rPr>
          <w:rFonts w:ascii="Arial" w:hAnsi="Arial" w:cs="Arial"/>
          <w:sz w:val="24"/>
          <w:szCs w:val="24"/>
        </w:rPr>
        <w:t>, t</w:t>
      </w:r>
      <w:r w:rsidR="007B2B1D">
        <w:rPr>
          <w:rFonts w:ascii="Arial" w:hAnsi="Arial" w:cs="Arial"/>
          <w:sz w:val="24"/>
          <w:szCs w:val="24"/>
        </w:rPr>
        <w:t>he Commission and ERCOT should make careful assumptions about which resources are considered deliverable or not for the purpose of this analysis. The Commission should not assume that all resources have firm transmission service. That would greatly overestimate the system’s reliability.</w:t>
      </w:r>
      <w:r w:rsidR="00D674F8">
        <w:rPr>
          <w:rFonts w:ascii="Arial" w:hAnsi="Arial" w:cs="Arial"/>
          <w:sz w:val="24"/>
          <w:szCs w:val="24"/>
        </w:rPr>
        <w:t xml:space="preserve">  </w:t>
      </w:r>
      <w:r w:rsidR="007B2B1D">
        <w:rPr>
          <w:rFonts w:ascii="Arial" w:hAnsi="Arial" w:cs="Arial"/>
          <w:sz w:val="24"/>
          <w:szCs w:val="24"/>
        </w:rPr>
        <w:t xml:space="preserve">As the Solar Associations have argued elsewhere, ERCOT frequently curtails generation due to a lack of new economic transmission projects. For this reason, the Commission should consider transmission as </w:t>
      </w:r>
      <w:r w:rsidR="007B2B1D">
        <w:rPr>
          <w:rFonts w:ascii="Arial" w:hAnsi="Arial" w:cs="Arial"/>
          <w:sz w:val="24"/>
          <w:szCs w:val="24"/>
        </w:rPr>
        <w:lastRenderedPageBreak/>
        <w:t xml:space="preserve">a potential solution to reliability challenges that does not require additional generation or capacity. </w:t>
      </w:r>
    </w:p>
    <w:p w14:paraId="0B3071B9" w14:textId="7FBEAD3E" w:rsidR="00275706" w:rsidRPr="003F10FB" w:rsidRDefault="00275706" w:rsidP="009A1974">
      <w:pPr>
        <w:pStyle w:val="ListParagraph"/>
        <w:numPr>
          <w:ilvl w:val="0"/>
          <w:numId w:val="4"/>
        </w:numPr>
        <w:ind w:left="720" w:hanging="720"/>
        <w:rPr>
          <w:rFonts w:ascii="Arial" w:hAnsi="Arial" w:cs="Arial"/>
          <w:b/>
          <w:bCs/>
          <w:sz w:val="24"/>
          <w:szCs w:val="24"/>
        </w:rPr>
      </w:pPr>
      <w:r w:rsidRPr="003F10FB">
        <w:rPr>
          <w:rFonts w:ascii="Arial" w:hAnsi="Arial" w:cs="Arial"/>
          <w:b/>
          <w:bCs/>
          <w:sz w:val="24"/>
          <w:szCs w:val="24"/>
        </w:rPr>
        <w:t xml:space="preserve">Additional considerations in establishing the reliability standard in the ERCOT power region. Should the reliability standard include a locational requirement? Should the reliability standard include a seasonal component? How can extreme events be captured in a reliability standard? How can the value of distributed energy and load resources be captured in a reliability standard? </w:t>
      </w:r>
    </w:p>
    <w:p w14:paraId="5C77C198" w14:textId="77777777" w:rsidR="00DE56F6" w:rsidRPr="003F10FB" w:rsidRDefault="00DE56F6" w:rsidP="006B34DE">
      <w:pPr>
        <w:spacing w:line="360" w:lineRule="auto"/>
        <w:rPr>
          <w:rFonts w:ascii="Arial" w:hAnsi="Arial" w:cs="Arial"/>
          <w:sz w:val="24"/>
          <w:szCs w:val="24"/>
        </w:rPr>
      </w:pPr>
    </w:p>
    <w:p w14:paraId="1DCB3D66" w14:textId="3CE6DDA6" w:rsidR="00195523" w:rsidRPr="00195523" w:rsidRDefault="004119E4" w:rsidP="003B72DA">
      <w:pPr>
        <w:spacing w:line="480" w:lineRule="auto"/>
        <w:ind w:firstLine="720"/>
        <w:rPr>
          <w:rFonts w:ascii="Arial" w:hAnsi="Arial" w:cs="Arial"/>
          <w:sz w:val="24"/>
          <w:szCs w:val="24"/>
        </w:rPr>
      </w:pPr>
      <w:r>
        <w:rPr>
          <w:rFonts w:ascii="Arial" w:hAnsi="Arial" w:cs="Arial"/>
          <w:sz w:val="24"/>
          <w:szCs w:val="24"/>
        </w:rPr>
        <w:t xml:space="preserve">The Solar Associations offer the Commission two additional ideas for consideration. </w:t>
      </w:r>
      <w:r w:rsidR="00556854">
        <w:rPr>
          <w:rFonts w:ascii="Arial" w:hAnsi="Arial" w:cs="Arial"/>
          <w:sz w:val="24"/>
          <w:szCs w:val="24"/>
        </w:rPr>
        <w:t xml:space="preserve">First, </w:t>
      </w:r>
      <w:r w:rsidR="00AA2FA1">
        <w:rPr>
          <w:rFonts w:ascii="Arial" w:hAnsi="Arial" w:cs="Arial"/>
          <w:sz w:val="24"/>
          <w:szCs w:val="24"/>
        </w:rPr>
        <w:t xml:space="preserve">as Winter Storm Uri demonstrated, </w:t>
      </w:r>
      <w:r w:rsidR="00AC6719">
        <w:rPr>
          <w:rFonts w:ascii="Arial" w:hAnsi="Arial" w:cs="Arial"/>
          <w:sz w:val="24"/>
          <w:szCs w:val="24"/>
        </w:rPr>
        <w:t>weather</w:t>
      </w:r>
      <w:r w:rsidR="00A32167">
        <w:rPr>
          <w:rFonts w:ascii="Arial" w:hAnsi="Arial" w:cs="Arial"/>
          <w:sz w:val="24"/>
          <w:szCs w:val="24"/>
        </w:rPr>
        <w:t xml:space="preserve">-related </w:t>
      </w:r>
      <w:r w:rsidR="00AC6719">
        <w:rPr>
          <w:rFonts w:ascii="Arial" w:hAnsi="Arial" w:cs="Arial"/>
          <w:sz w:val="24"/>
          <w:szCs w:val="24"/>
        </w:rPr>
        <w:t xml:space="preserve">correlated outages </w:t>
      </w:r>
      <w:r w:rsidR="00A32167">
        <w:rPr>
          <w:rFonts w:ascii="Arial" w:hAnsi="Arial" w:cs="Arial"/>
          <w:sz w:val="24"/>
          <w:szCs w:val="24"/>
        </w:rPr>
        <w:t xml:space="preserve">or other common mode failures </w:t>
      </w:r>
      <w:r w:rsidR="00E80835">
        <w:rPr>
          <w:rFonts w:ascii="Arial" w:hAnsi="Arial" w:cs="Arial"/>
          <w:sz w:val="24"/>
          <w:szCs w:val="24"/>
        </w:rPr>
        <w:t xml:space="preserve">are a major threat to the </w:t>
      </w:r>
      <w:r w:rsidR="00200DB0">
        <w:rPr>
          <w:rFonts w:ascii="Arial" w:hAnsi="Arial" w:cs="Arial"/>
          <w:sz w:val="24"/>
          <w:szCs w:val="24"/>
        </w:rPr>
        <w:t xml:space="preserve">ERCOT system and </w:t>
      </w:r>
      <w:r w:rsidR="00E01F7C">
        <w:rPr>
          <w:rFonts w:ascii="Arial" w:hAnsi="Arial" w:cs="Arial"/>
          <w:sz w:val="24"/>
          <w:szCs w:val="24"/>
        </w:rPr>
        <w:t xml:space="preserve">should </w:t>
      </w:r>
      <w:r w:rsidR="00A91820">
        <w:rPr>
          <w:rFonts w:ascii="Arial" w:hAnsi="Arial" w:cs="Arial"/>
          <w:sz w:val="24"/>
          <w:szCs w:val="24"/>
        </w:rPr>
        <w:t xml:space="preserve">not be excluded from reliability analysis. </w:t>
      </w:r>
      <w:r w:rsidR="00E01F7C">
        <w:rPr>
          <w:rFonts w:ascii="Arial" w:hAnsi="Arial" w:cs="Arial"/>
          <w:sz w:val="24"/>
          <w:szCs w:val="24"/>
        </w:rPr>
        <w:t xml:space="preserve"> </w:t>
      </w:r>
      <w:r w:rsidR="00916531">
        <w:rPr>
          <w:rFonts w:ascii="Arial" w:hAnsi="Arial" w:cs="Arial"/>
          <w:sz w:val="24"/>
          <w:szCs w:val="24"/>
        </w:rPr>
        <w:t>To that end, the C</w:t>
      </w:r>
      <w:r w:rsidR="00161531">
        <w:rPr>
          <w:rFonts w:ascii="Arial" w:hAnsi="Arial" w:cs="Arial"/>
          <w:sz w:val="24"/>
          <w:szCs w:val="24"/>
        </w:rPr>
        <w:t>ommission should not assume that “firm, dispatchable” resource</w:t>
      </w:r>
      <w:r w:rsidR="00E2246E">
        <w:rPr>
          <w:rFonts w:ascii="Arial" w:hAnsi="Arial" w:cs="Arial"/>
          <w:sz w:val="24"/>
          <w:szCs w:val="24"/>
        </w:rPr>
        <w:t>s</w:t>
      </w:r>
      <w:r w:rsidR="00161531">
        <w:rPr>
          <w:rFonts w:ascii="Arial" w:hAnsi="Arial" w:cs="Arial"/>
          <w:sz w:val="24"/>
          <w:szCs w:val="24"/>
        </w:rPr>
        <w:t xml:space="preserve"> are available all of the time; there is no such thing as perfect capacity.</w:t>
      </w:r>
      <w:r w:rsidR="00B9067D" w:rsidRPr="003F10FB">
        <w:rPr>
          <w:rFonts w:ascii="Arial" w:hAnsi="Arial" w:cs="Arial"/>
          <w:sz w:val="24"/>
          <w:szCs w:val="24"/>
        </w:rPr>
        <w:t xml:space="preserve"> </w:t>
      </w:r>
      <w:r w:rsidR="00195523">
        <w:rPr>
          <w:rFonts w:ascii="Arial" w:hAnsi="Arial" w:cs="Arial"/>
          <w:sz w:val="24"/>
          <w:szCs w:val="24"/>
        </w:rPr>
        <w:t>The reliability assessment should consider the correlated outages of all generating capacity due to weather or common mode failures in addition to forced outages due to mechanical failures.</w:t>
      </w:r>
      <w:r w:rsidR="00577CC6">
        <w:rPr>
          <w:rFonts w:ascii="Arial" w:hAnsi="Arial" w:cs="Arial"/>
          <w:sz w:val="24"/>
          <w:szCs w:val="24"/>
        </w:rPr>
        <w:t xml:space="preserve">  </w:t>
      </w:r>
      <w:r w:rsidR="00095ACB">
        <w:rPr>
          <w:rFonts w:ascii="Arial" w:hAnsi="Arial" w:cs="Arial"/>
          <w:sz w:val="24"/>
          <w:szCs w:val="24"/>
        </w:rPr>
        <w:t xml:space="preserve">Resource </w:t>
      </w:r>
      <w:r w:rsidR="007741D4">
        <w:rPr>
          <w:rFonts w:ascii="Arial" w:hAnsi="Arial" w:cs="Arial"/>
          <w:sz w:val="24"/>
          <w:szCs w:val="24"/>
        </w:rPr>
        <w:t>adequacy</w:t>
      </w:r>
      <w:r w:rsidR="00095ACB">
        <w:rPr>
          <w:rFonts w:ascii="Arial" w:hAnsi="Arial" w:cs="Arial"/>
          <w:sz w:val="24"/>
          <w:szCs w:val="24"/>
        </w:rPr>
        <w:t xml:space="preserve"> constructs should recognize the wide variety of technologies available to meet customer and electricity system reliability and resilience needs. </w:t>
      </w:r>
    </w:p>
    <w:p w14:paraId="11DC9682" w14:textId="324D6CC3" w:rsidR="007741D4" w:rsidRDefault="003B72DA" w:rsidP="00C92435">
      <w:pPr>
        <w:spacing w:line="480" w:lineRule="auto"/>
        <w:rPr>
          <w:rFonts w:ascii="Arial" w:hAnsi="Arial" w:cs="Arial"/>
          <w:sz w:val="24"/>
          <w:szCs w:val="24"/>
        </w:rPr>
      </w:pPr>
      <w:r>
        <w:rPr>
          <w:rFonts w:ascii="Arial" w:hAnsi="Arial" w:cs="Arial"/>
          <w:sz w:val="24"/>
          <w:szCs w:val="24"/>
        </w:rPr>
        <w:tab/>
      </w:r>
      <w:r w:rsidR="00161531">
        <w:rPr>
          <w:rFonts w:ascii="Arial" w:hAnsi="Arial" w:cs="Arial"/>
          <w:sz w:val="24"/>
          <w:szCs w:val="24"/>
        </w:rPr>
        <w:t xml:space="preserve">Second, the Commission should </w:t>
      </w:r>
      <w:r w:rsidR="00846891">
        <w:rPr>
          <w:rFonts w:ascii="Arial" w:hAnsi="Arial" w:cs="Arial"/>
          <w:sz w:val="24"/>
          <w:szCs w:val="24"/>
        </w:rPr>
        <w:t xml:space="preserve">be transparent about the </w:t>
      </w:r>
      <w:r w:rsidR="00656D34">
        <w:rPr>
          <w:rFonts w:ascii="Arial" w:hAnsi="Arial" w:cs="Arial"/>
          <w:sz w:val="24"/>
          <w:szCs w:val="24"/>
        </w:rPr>
        <w:t xml:space="preserve">incremental </w:t>
      </w:r>
      <w:r w:rsidR="00281634">
        <w:rPr>
          <w:rFonts w:ascii="Arial" w:hAnsi="Arial" w:cs="Arial"/>
          <w:sz w:val="24"/>
          <w:szCs w:val="24"/>
        </w:rPr>
        <w:t xml:space="preserve">reliability benefits and costs </w:t>
      </w:r>
      <w:r w:rsidR="00875F9E">
        <w:rPr>
          <w:rFonts w:ascii="Arial" w:hAnsi="Arial" w:cs="Arial"/>
          <w:sz w:val="24"/>
          <w:szCs w:val="24"/>
        </w:rPr>
        <w:t xml:space="preserve">of planning for different metrics. </w:t>
      </w:r>
      <w:r w:rsidR="00FA6EED">
        <w:rPr>
          <w:rFonts w:ascii="Arial" w:hAnsi="Arial" w:cs="Arial"/>
          <w:sz w:val="24"/>
          <w:szCs w:val="24"/>
        </w:rPr>
        <w:t xml:space="preserve"> It’s too simplistic to conclude that the existing system is either reliable or not. In fact, based on historical measures such “one day in ten years,” ERCOT is already exceeding those standards for reliability with </w:t>
      </w:r>
      <w:proofErr w:type="gramStart"/>
      <w:r w:rsidR="00FA6EED">
        <w:rPr>
          <w:rFonts w:ascii="Arial" w:hAnsi="Arial" w:cs="Arial"/>
          <w:sz w:val="24"/>
          <w:szCs w:val="24"/>
        </w:rPr>
        <w:t>an</w:t>
      </w:r>
      <w:proofErr w:type="gramEnd"/>
      <w:r w:rsidR="00FA6EED">
        <w:rPr>
          <w:rFonts w:ascii="Arial" w:hAnsi="Arial" w:cs="Arial"/>
          <w:sz w:val="24"/>
          <w:szCs w:val="24"/>
        </w:rPr>
        <w:t xml:space="preserve"> LOLE of 0.03.</w:t>
      </w:r>
      <w:r w:rsidR="00FA6EED">
        <w:rPr>
          <w:rStyle w:val="FootnoteReference"/>
          <w:rFonts w:ascii="Arial" w:hAnsi="Arial" w:cs="Arial"/>
          <w:sz w:val="24"/>
          <w:szCs w:val="24"/>
        </w:rPr>
        <w:footnoteReference w:id="4"/>
      </w:r>
      <w:r w:rsidR="00FA6EED">
        <w:rPr>
          <w:rFonts w:ascii="Arial" w:hAnsi="Arial" w:cs="Arial"/>
          <w:sz w:val="24"/>
          <w:szCs w:val="24"/>
        </w:rPr>
        <w:t xml:space="preserve"> </w:t>
      </w:r>
      <w:r w:rsidR="00AE7747">
        <w:rPr>
          <w:rFonts w:ascii="Arial" w:hAnsi="Arial" w:cs="Arial"/>
          <w:sz w:val="24"/>
          <w:szCs w:val="24"/>
        </w:rPr>
        <w:t xml:space="preserve"> </w:t>
      </w:r>
      <w:r w:rsidR="00FA6EED">
        <w:rPr>
          <w:rFonts w:ascii="Arial" w:hAnsi="Arial" w:cs="Arial"/>
          <w:sz w:val="24"/>
          <w:szCs w:val="24"/>
        </w:rPr>
        <w:t xml:space="preserve">What is critically missing is </w:t>
      </w:r>
      <w:r w:rsidR="009A12B2">
        <w:rPr>
          <w:rFonts w:ascii="Arial" w:hAnsi="Arial" w:cs="Arial"/>
          <w:sz w:val="24"/>
          <w:szCs w:val="24"/>
        </w:rPr>
        <w:t xml:space="preserve">the </w:t>
      </w:r>
      <w:r w:rsidR="00FA6EED">
        <w:rPr>
          <w:rFonts w:ascii="Arial" w:hAnsi="Arial" w:cs="Arial"/>
          <w:sz w:val="24"/>
          <w:szCs w:val="24"/>
        </w:rPr>
        <w:t>inclusion of the financial impacts on the customers who pay electric bills in Texas</w:t>
      </w:r>
      <w:r w:rsidR="009A12B2">
        <w:rPr>
          <w:rFonts w:ascii="Arial" w:hAnsi="Arial" w:cs="Arial"/>
          <w:sz w:val="24"/>
          <w:szCs w:val="24"/>
        </w:rPr>
        <w:t xml:space="preserve">. </w:t>
      </w:r>
      <w:r w:rsidR="00364B69">
        <w:rPr>
          <w:rFonts w:ascii="Arial" w:hAnsi="Arial" w:cs="Arial"/>
          <w:sz w:val="24"/>
          <w:szCs w:val="24"/>
        </w:rPr>
        <w:t xml:space="preserve"> </w:t>
      </w:r>
    </w:p>
    <w:p w14:paraId="5CC06CA6" w14:textId="5F5233A1" w:rsidR="00932FEB" w:rsidRDefault="00282510" w:rsidP="000A122B">
      <w:pPr>
        <w:spacing w:line="480" w:lineRule="auto"/>
        <w:ind w:firstLine="720"/>
        <w:rPr>
          <w:rFonts w:ascii="Arial" w:hAnsi="Arial" w:cs="Arial"/>
          <w:sz w:val="24"/>
          <w:szCs w:val="24"/>
        </w:rPr>
      </w:pPr>
      <w:r>
        <w:rPr>
          <w:rFonts w:ascii="Arial" w:hAnsi="Arial" w:cs="Arial"/>
          <w:sz w:val="24"/>
          <w:szCs w:val="24"/>
        </w:rPr>
        <w:lastRenderedPageBreak/>
        <w:t xml:space="preserve">There is an inherent trade-off between reliability and cost and, as ESIG suggests, this relationship may be nonlinear. Some low cost investments may greatly improve reliability whereas other expensive investments may have a minimal impact. </w:t>
      </w:r>
      <w:r w:rsidR="009A12B2">
        <w:rPr>
          <w:rFonts w:ascii="Arial" w:hAnsi="Arial" w:cs="Arial"/>
          <w:sz w:val="24"/>
          <w:szCs w:val="24"/>
        </w:rPr>
        <w:t xml:space="preserve">Regulators, stakeholders, and customers need additional transparency regarding the costs associated with various solutions to reliability so they can make informed decisions regarding the value of reliability improvements. Customers for whom reliability is </w:t>
      </w:r>
      <w:r w:rsidR="000A122B">
        <w:rPr>
          <w:rFonts w:ascii="Arial" w:hAnsi="Arial" w:cs="Arial"/>
          <w:sz w:val="24"/>
          <w:szCs w:val="24"/>
        </w:rPr>
        <w:t>of paramount</w:t>
      </w:r>
      <w:r w:rsidR="009A12B2">
        <w:rPr>
          <w:rFonts w:ascii="Arial" w:hAnsi="Arial" w:cs="Arial"/>
          <w:sz w:val="24"/>
          <w:szCs w:val="24"/>
        </w:rPr>
        <w:t xml:space="preserve"> importan</w:t>
      </w:r>
      <w:r w:rsidR="000A122B">
        <w:rPr>
          <w:rFonts w:ascii="Arial" w:hAnsi="Arial" w:cs="Arial"/>
          <w:sz w:val="24"/>
          <w:szCs w:val="24"/>
        </w:rPr>
        <w:t>ce</w:t>
      </w:r>
      <w:r w:rsidR="009A12B2">
        <w:rPr>
          <w:rFonts w:ascii="Arial" w:hAnsi="Arial" w:cs="Arial"/>
          <w:sz w:val="24"/>
          <w:szCs w:val="24"/>
        </w:rPr>
        <w:t xml:space="preserve"> may choose to invest in on-site solar and batteries to reduce the probability of an outage. </w:t>
      </w:r>
    </w:p>
    <w:p w14:paraId="48461D2D" w14:textId="05320CDC" w:rsidR="007741D4" w:rsidRDefault="00932FEB" w:rsidP="000A122B">
      <w:pPr>
        <w:spacing w:line="480" w:lineRule="auto"/>
        <w:ind w:firstLine="720"/>
        <w:rPr>
          <w:rFonts w:ascii="Arial" w:hAnsi="Arial" w:cs="Arial"/>
          <w:sz w:val="24"/>
          <w:szCs w:val="24"/>
        </w:rPr>
      </w:pPr>
      <w:r>
        <w:rPr>
          <w:rFonts w:ascii="Arial" w:hAnsi="Arial" w:cs="Arial"/>
          <w:sz w:val="24"/>
          <w:szCs w:val="24"/>
        </w:rPr>
        <w:t xml:space="preserve">For this reason, it is essential that the Commission have an understanding of the Texas economy as it relates to different sectors values of lost load – a survey </w:t>
      </w:r>
      <w:r w:rsidR="00282510">
        <w:rPr>
          <w:rFonts w:ascii="Arial" w:hAnsi="Arial" w:cs="Arial"/>
          <w:sz w:val="24"/>
          <w:szCs w:val="24"/>
        </w:rPr>
        <w:t xml:space="preserve">would be an excellent first </w:t>
      </w:r>
      <w:r w:rsidR="008A6A05">
        <w:rPr>
          <w:rFonts w:ascii="Arial" w:hAnsi="Arial" w:cs="Arial"/>
          <w:sz w:val="24"/>
          <w:szCs w:val="24"/>
        </w:rPr>
        <w:t>step,</w:t>
      </w:r>
      <w:r w:rsidR="00282510">
        <w:rPr>
          <w:rFonts w:ascii="Arial" w:hAnsi="Arial" w:cs="Arial"/>
          <w:sz w:val="24"/>
          <w:szCs w:val="24"/>
        </w:rPr>
        <w:t xml:space="preserve"> but additional work would still need to be done</w:t>
      </w:r>
      <w:r>
        <w:rPr>
          <w:rFonts w:ascii="Arial" w:hAnsi="Arial" w:cs="Arial"/>
          <w:sz w:val="24"/>
          <w:szCs w:val="24"/>
        </w:rPr>
        <w:t xml:space="preserve">. We recommend that the Commission work with the Comptroller’s office and the Dallas Federal Reserve </w:t>
      </w:r>
      <w:r w:rsidR="00077E34">
        <w:rPr>
          <w:rFonts w:ascii="Arial" w:hAnsi="Arial" w:cs="Arial"/>
          <w:sz w:val="24"/>
          <w:szCs w:val="24"/>
        </w:rPr>
        <w:t xml:space="preserve">on the best way </w:t>
      </w:r>
      <w:r>
        <w:rPr>
          <w:rFonts w:ascii="Arial" w:hAnsi="Arial" w:cs="Arial"/>
          <w:sz w:val="24"/>
          <w:szCs w:val="24"/>
        </w:rPr>
        <w:t xml:space="preserve"> to model the Texas economy in order to determine a curve for the value of lost load of different segments. These entitles have great information about the economy, and ERCOT has information about MWh consumption. Together, value of lost load, in dollars per megawatt hour, could be studied. Duration of outages is also an essential component to this value – a grocery store can withstand a 5 minute outage, but a longer outage could cause them to have both lost sales and frozen products dethaw and need to be discarded. This complex topic shouldn’t be rushed – it</w:t>
      </w:r>
      <w:r w:rsidR="00AE7747">
        <w:rPr>
          <w:rFonts w:ascii="Arial" w:hAnsi="Arial" w:cs="Arial"/>
          <w:sz w:val="24"/>
          <w:szCs w:val="24"/>
        </w:rPr>
        <w:t xml:space="preserve"> i</w:t>
      </w:r>
      <w:r>
        <w:rPr>
          <w:rFonts w:ascii="Arial" w:hAnsi="Arial" w:cs="Arial"/>
          <w:sz w:val="24"/>
          <w:szCs w:val="24"/>
        </w:rPr>
        <w:t xml:space="preserve">s important to try to get it right initially and then iterate over time. </w:t>
      </w:r>
    </w:p>
    <w:p w14:paraId="6D8C83E4" w14:textId="2E200EDA" w:rsidR="007741D4" w:rsidRPr="003F10FB" w:rsidRDefault="007741D4" w:rsidP="000A122B">
      <w:pPr>
        <w:spacing w:line="480" w:lineRule="auto"/>
        <w:ind w:firstLine="720"/>
        <w:rPr>
          <w:rFonts w:ascii="Arial" w:hAnsi="Arial" w:cs="Arial"/>
          <w:sz w:val="24"/>
          <w:szCs w:val="24"/>
        </w:rPr>
      </w:pPr>
      <w:r>
        <w:rPr>
          <w:rFonts w:ascii="Arial" w:hAnsi="Arial" w:cs="Arial"/>
          <w:sz w:val="24"/>
          <w:szCs w:val="24"/>
        </w:rPr>
        <w:t>Finally</w:t>
      </w:r>
      <w:r w:rsidRPr="007741D4">
        <w:rPr>
          <w:rFonts w:ascii="Arial" w:hAnsi="Arial" w:cs="Arial"/>
          <w:sz w:val="24"/>
          <w:szCs w:val="24"/>
        </w:rPr>
        <w:t xml:space="preserve">, </w:t>
      </w:r>
      <w:r w:rsidR="003B72DA">
        <w:rPr>
          <w:rFonts w:ascii="Arial" w:hAnsi="Arial" w:cs="Arial"/>
          <w:sz w:val="24"/>
          <w:szCs w:val="24"/>
        </w:rPr>
        <w:t xml:space="preserve">resource adequacy is just one aspect of system reliability. To consumers, an outage is an outage whether it be due to capacity shortfalls or problems in transmission or distribution systems.  </w:t>
      </w:r>
      <w:r w:rsidRPr="007741D4">
        <w:rPr>
          <w:rFonts w:ascii="Arial" w:hAnsi="Arial" w:cs="Arial"/>
          <w:sz w:val="24"/>
          <w:szCs w:val="24"/>
        </w:rPr>
        <w:t xml:space="preserve">Cost transparency will help </w:t>
      </w:r>
      <w:r w:rsidR="002F4501">
        <w:rPr>
          <w:rFonts w:ascii="Arial" w:hAnsi="Arial" w:cs="Arial"/>
          <w:sz w:val="24"/>
          <w:szCs w:val="24"/>
        </w:rPr>
        <w:t xml:space="preserve">the Commission determine the most </w:t>
      </w:r>
      <w:r w:rsidR="002F4501">
        <w:rPr>
          <w:rFonts w:ascii="Arial" w:hAnsi="Arial" w:cs="Arial"/>
          <w:sz w:val="24"/>
          <w:szCs w:val="24"/>
        </w:rPr>
        <w:lastRenderedPageBreak/>
        <w:t>economic manner in securing system reliability and</w:t>
      </w:r>
      <w:r w:rsidRPr="007741D4">
        <w:rPr>
          <w:rFonts w:ascii="Arial" w:hAnsi="Arial" w:cs="Arial"/>
          <w:sz w:val="24"/>
          <w:szCs w:val="24"/>
        </w:rPr>
        <w:t xml:space="preserve"> on </w:t>
      </w:r>
      <w:r w:rsidR="003B72DA">
        <w:rPr>
          <w:rFonts w:ascii="Arial" w:hAnsi="Arial" w:cs="Arial"/>
          <w:sz w:val="24"/>
          <w:szCs w:val="24"/>
        </w:rPr>
        <w:t>allocating dollars between resource adequacy and</w:t>
      </w:r>
      <w:r w:rsidRPr="007741D4">
        <w:rPr>
          <w:rFonts w:ascii="Arial" w:hAnsi="Arial" w:cs="Arial"/>
          <w:sz w:val="24"/>
          <w:szCs w:val="24"/>
        </w:rPr>
        <w:t xml:space="preserve"> increasing investments in transmission and distribution</w:t>
      </w:r>
      <w:r>
        <w:rPr>
          <w:rFonts w:ascii="Arial" w:hAnsi="Arial" w:cs="Arial"/>
          <w:sz w:val="24"/>
          <w:szCs w:val="24"/>
        </w:rPr>
        <w:t>.</w:t>
      </w:r>
    </w:p>
    <w:p w14:paraId="5276D5B7" w14:textId="675320D0" w:rsidR="00275706" w:rsidRPr="003F10FB" w:rsidRDefault="00275706" w:rsidP="00BD6A83">
      <w:pPr>
        <w:pStyle w:val="ListParagraph"/>
        <w:numPr>
          <w:ilvl w:val="0"/>
          <w:numId w:val="4"/>
        </w:numPr>
        <w:ind w:left="720" w:hanging="720"/>
        <w:rPr>
          <w:rFonts w:ascii="Arial" w:hAnsi="Arial" w:cs="Arial"/>
          <w:b/>
          <w:bCs/>
          <w:sz w:val="24"/>
          <w:szCs w:val="24"/>
        </w:rPr>
      </w:pPr>
      <w:r w:rsidRPr="003F10FB">
        <w:rPr>
          <w:rFonts w:ascii="Arial" w:hAnsi="Arial" w:cs="Arial"/>
          <w:b/>
          <w:bCs/>
          <w:sz w:val="24"/>
          <w:szCs w:val="24"/>
        </w:rPr>
        <w:t xml:space="preserve">How frequently should the Commission update the calculation of the requirement necessary to meet the reliability standard? What criteria should help determine the frequency of the update? </w:t>
      </w:r>
    </w:p>
    <w:p w14:paraId="28B7206B" w14:textId="77777777" w:rsidR="00DE56F6" w:rsidRPr="003F10FB" w:rsidRDefault="00DE56F6" w:rsidP="00DE56F6">
      <w:pPr>
        <w:pStyle w:val="ListParagraph"/>
        <w:rPr>
          <w:rFonts w:ascii="Arial" w:hAnsi="Arial" w:cs="Arial"/>
          <w:sz w:val="24"/>
          <w:szCs w:val="24"/>
        </w:rPr>
      </w:pPr>
    </w:p>
    <w:p w14:paraId="1EE2AF44" w14:textId="0DBA9FC1" w:rsidR="00DE56F6" w:rsidRPr="003F10FB" w:rsidRDefault="00E04C36" w:rsidP="00BD6A83">
      <w:pPr>
        <w:spacing w:after="240" w:line="360" w:lineRule="auto"/>
        <w:ind w:firstLine="720"/>
        <w:rPr>
          <w:rFonts w:ascii="Arial" w:hAnsi="Arial" w:cs="Arial"/>
          <w:sz w:val="24"/>
          <w:szCs w:val="24"/>
        </w:rPr>
      </w:pPr>
      <w:r>
        <w:rPr>
          <w:rFonts w:ascii="Arial" w:hAnsi="Arial" w:cs="Arial"/>
          <w:sz w:val="24"/>
          <w:szCs w:val="24"/>
        </w:rPr>
        <w:t xml:space="preserve">Initially, the Commission should update the calculation fairly frequently to make sure it is iterating to get it right -especially for things like trade-offs between the cost of entry and the cost of new transmission, or the value of lost load curve. </w:t>
      </w:r>
    </w:p>
    <w:p w14:paraId="77BAA137" w14:textId="2F8CF3DC" w:rsidR="00107B74" w:rsidRPr="003F10FB" w:rsidRDefault="00275706" w:rsidP="00BD6A83">
      <w:pPr>
        <w:ind w:left="720" w:hanging="720"/>
        <w:rPr>
          <w:rFonts w:ascii="Arial" w:eastAsia="Calibri" w:hAnsi="Arial" w:cs="Arial"/>
          <w:b/>
          <w:bCs/>
          <w:sz w:val="24"/>
          <w:szCs w:val="24"/>
        </w:rPr>
      </w:pPr>
      <w:r w:rsidRPr="003F10FB">
        <w:rPr>
          <w:rFonts w:ascii="Arial" w:hAnsi="Arial" w:cs="Arial"/>
          <w:b/>
          <w:bCs/>
          <w:sz w:val="24"/>
          <w:szCs w:val="24"/>
        </w:rPr>
        <w:t xml:space="preserve">(5) </w:t>
      </w:r>
      <w:r w:rsidR="00BD6A83">
        <w:rPr>
          <w:rFonts w:ascii="Arial" w:hAnsi="Arial" w:cs="Arial"/>
          <w:b/>
          <w:bCs/>
          <w:sz w:val="24"/>
          <w:szCs w:val="24"/>
        </w:rPr>
        <w:tab/>
      </w:r>
      <w:r w:rsidRPr="003F10FB">
        <w:rPr>
          <w:rFonts w:ascii="Arial" w:hAnsi="Arial" w:cs="Arial"/>
          <w:b/>
          <w:bCs/>
          <w:sz w:val="24"/>
          <w:szCs w:val="24"/>
        </w:rPr>
        <w:t>If you have any industry or academic papers on the topic and best practices that you believe the Commission should review while establishing the reliability standard for the ERCOT power region, please provide them.</w:t>
      </w:r>
    </w:p>
    <w:p w14:paraId="5ACE8EEE" w14:textId="14EF6D23" w:rsidR="00721894" w:rsidRPr="003F10FB" w:rsidRDefault="00721894" w:rsidP="00BD6A83">
      <w:pPr>
        <w:pStyle w:val="NormalWeb"/>
        <w:jc w:val="both"/>
        <w:rPr>
          <w:rFonts w:ascii="Arial" w:hAnsi="Arial" w:cs="Arial"/>
        </w:rPr>
      </w:pPr>
      <w:r w:rsidRPr="003F10FB">
        <w:rPr>
          <w:rFonts w:ascii="Arial" w:hAnsi="Arial" w:cs="Arial"/>
        </w:rPr>
        <w:t xml:space="preserve">Energy Systems Integration Group. 2021. </w:t>
      </w:r>
      <w:r w:rsidRPr="003F10FB">
        <w:rPr>
          <w:rFonts w:ascii="Arial" w:hAnsi="Arial" w:cs="Arial"/>
          <w:i/>
          <w:iCs/>
        </w:rPr>
        <w:t>Redefining Resource Adequacy for Modern Power Systems. A Report of the Redefining Resource Adequacy Task Force.</w:t>
      </w:r>
      <w:r w:rsidRPr="003F10FB">
        <w:rPr>
          <w:rFonts w:ascii="Arial" w:hAnsi="Arial" w:cs="Arial"/>
        </w:rPr>
        <w:t xml:space="preserve"> Reston, VA. </w:t>
      </w:r>
      <w:r w:rsidRPr="003F10FB">
        <w:rPr>
          <w:rFonts w:ascii="Arial" w:hAnsi="Arial" w:cs="Arial"/>
          <w:color w:val="1149E0"/>
        </w:rPr>
        <w:t>https://www.esig.energy/reports-briefs</w:t>
      </w:r>
      <w:r w:rsidRPr="003F10FB">
        <w:rPr>
          <w:rFonts w:ascii="Arial" w:hAnsi="Arial" w:cs="Arial"/>
        </w:rPr>
        <w:t xml:space="preserve">. </w:t>
      </w:r>
    </w:p>
    <w:p w14:paraId="5A3DBB3C" w14:textId="77777777" w:rsidR="00372F44" w:rsidRPr="003F10FB" w:rsidRDefault="00372F44" w:rsidP="00D820E3">
      <w:pPr>
        <w:spacing w:line="360" w:lineRule="auto"/>
        <w:rPr>
          <w:rFonts w:ascii="Arial" w:eastAsia="Calibri" w:hAnsi="Arial" w:cs="Arial"/>
          <w:b/>
          <w:bCs/>
          <w:sz w:val="24"/>
          <w:szCs w:val="24"/>
        </w:rPr>
      </w:pPr>
    </w:p>
    <w:p w14:paraId="37604E35" w14:textId="77777777" w:rsidR="00682A83" w:rsidRPr="005A4102" w:rsidRDefault="00682A83" w:rsidP="00682A83">
      <w:pPr>
        <w:numPr>
          <w:ilvl w:val="0"/>
          <w:numId w:val="7"/>
        </w:numPr>
        <w:spacing w:line="480" w:lineRule="auto"/>
        <w:ind w:left="360" w:hanging="360"/>
        <w:jc w:val="center"/>
        <w:rPr>
          <w:rFonts w:ascii="Arial" w:eastAsia="Arial" w:hAnsi="Arial" w:cs="Arial"/>
          <w:b/>
          <w:color w:val="000000"/>
        </w:rPr>
      </w:pPr>
      <w:r w:rsidRPr="005A4102">
        <w:rPr>
          <w:rFonts w:ascii="Arial" w:eastAsia="Arial" w:hAnsi="Arial" w:cs="Arial"/>
          <w:b/>
        </w:rPr>
        <w:t>CONCLUSION</w:t>
      </w:r>
    </w:p>
    <w:p w14:paraId="04A52AD6" w14:textId="77777777" w:rsidR="00682A83" w:rsidRDefault="00682A83" w:rsidP="00682A83">
      <w:pPr>
        <w:spacing w:line="480" w:lineRule="auto"/>
        <w:ind w:firstLine="720"/>
        <w:rPr>
          <w:rFonts w:ascii="Arial" w:eastAsia="Arial" w:hAnsi="Arial" w:cs="Arial"/>
        </w:rPr>
      </w:pPr>
      <w:r w:rsidRPr="005A4102">
        <w:rPr>
          <w:rFonts w:ascii="Arial" w:eastAsia="Arial" w:hAnsi="Arial" w:cs="Arial"/>
        </w:rPr>
        <w:t xml:space="preserve">TSPA and SEIA appreciate the opportunity to provide these Comments and look forward to working with the Commission and other interested parties on these issues. </w:t>
      </w:r>
    </w:p>
    <w:p w14:paraId="4F691694" w14:textId="77777777" w:rsidR="00682A83" w:rsidRDefault="00682A83" w:rsidP="00682A83">
      <w:pPr>
        <w:spacing w:line="480" w:lineRule="auto"/>
        <w:ind w:firstLine="720"/>
        <w:rPr>
          <w:rFonts w:ascii="Arial" w:eastAsia="Arial" w:hAnsi="Arial" w:cs="Arial"/>
        </w:rPr>
      </w:pPr>
    </w:p>
    <w:p w14:paraId="0D940682" w14:textId="77777777" w:rsidR="00682A83" w:rsidRPr="000A122B" w:rsidRDefault="00682A83" w:rsidP="00682A83">
      <w:pPr>
        <w:tabs>
          <w:tab w:val="left" w:pos="4320"/>
        </w:tabs>
        <w:spacing w:line="480" w:lineRule="auto"/>
        <w:rPr>
          <w:rFonts w:ascii="Arial" w:eastAsia="Arial" w:hAnsi="Arial" w:cs="Arial"/>
          <w:sz w:val="24"/>
          <w:szCs w:val="24"/>
        </w:rPr>
      </w:pPr>
      <w:r w:rsidRPr="000A122B">
        <w:rPr>
          <w:rFonts w:ascii="Arial" w:eastAsia="Arial" w:hAnsi="Arial" w:cs="Arial"/>
          <w:sz w:val="24"/>
          <w:szCs w:val="24"/>
        </w:rPr>
        <w:tab/>
        <w:t>Respectfully submitted,</w:t>
      </w:r>
    </w:p>
    <w:p w14:paraId="02CA5B6F" w14:textId="659A4377" w:rsidR="00682A83" w:rsidRPr="000A122B" w:rsidRDefault="00682A83" w:rsidP="00682A83">
      <w:pPr>
        <w:tabs>
          <w:tab w:val="left" w:pos="4320"/>
        </w:tabs>
        <w:spacing w:line="480" w:lineRule="auto"/>
        <w:rPr>
          <w:rFonts w:ascii="Arial" w:eastAsia="Arial" w:hAnsi="Arial" w:cs="Arial"/>
        </w:rPr>
      </w:pPr>
    </w:p>
    <w:p w14:paraId="7F3C1845" w14:textId="30A3CD49" w:rsidR="00296C5A" w:rsidRDefault="00296C5A" w:rsidP="00296C5A">
      <w:pPr>
        <w:tabs>
          <w:tab w:val="left" w:pos="4320"/>
        </w:tabs>
        <w:rPr>
          <w:rFonts w:ascii="Arial" w:eastAsia="Arial" w:hAnsi="Arial" w:cs="Arial"/>
        </w:rPr>
      </w:pPr>
      <w:r>
        <w:rPr>
          <w:rFonts w:ascii="Arial" w:eastAsia="Arial" w:hAnsi="Arial" w:cs="Arial"/>
        </w:rPr>
        <w:tab/>
      </w:r>
      <w:r w:rsidR="00C93DC1">
        <w:rPr>
          <w:rFonts w:ascii="Arial" w:eastAsia="Arial" w:hAnsi="Arial" w:cs="Arial"/>
          <w:noProof/>
        </w:rPr>
        <w:drawing>
          <wp:inline distT="0" distB="0" distL="0" distR="0" wp14:anchorId="17072949" wp14:editId="72FE5A56">
            <wp:extent cx="2111375" cy="711045"/>
            <wp:effectExtent l="0" t="0" r="3175" b="0"/>
            <wp:docPr id="8" name="Picture 8" descr="Le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Letter&#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61776" cy="728018"/>
                    </a:xfrm>
                    <a:prstGeom prst="rect">
                      <a:avLst/>
                    </a:prstGeom>
                  </pic:spPr>
                </pic:pic>
              </a:graphicData>
            </a:graphic>
          </wp:inline>
        </w:drawing>
      </w:r>
    </w:p>
    <w:p w14:paraId="48C73210" w14:textId="6C3CD58B" w:rsidR="00682A83" w:rsidRPr="000A122B" w:rsidRDefault="00296C5A" w:rsidP="00296C5A">
      <w:pPr>
        <w:tabs>
          <w:tab w:val="left" w:pos="4320"/>
        </w:tabs>
        <w:rPr>
          <w:rFonts w:ascii="Arial" w:eastAsia="Arial" w:hAnsi="Arial" w:cs="Arial"/>
        </w:rPr>
      </w:pPr>
      <w:r>
        <w:rPr>
          <w:rFonts w:ascii="Arial" w:eastAsia="Arial" w:hAnsi="Arial" w:cs="Arial"/>
        </w:rPr>
        <w:tab/>
      </w:r>
      <w:r w:rsidR="00682A83" w:rsidRPr="000A122B">
        <w:rPr>
          <w:rFonts w:ascii="Arial" w:eastAsia="Arial" w:hAnsi="Arial" w:cs="Arial"/>
        </w:rPr>
        <w:t>_________________________________</w:t>
      </w:r>
      <w:r>
        <w:rPr>
          <w:rFonts w:ascii="Arial" w:eastAsia="Arial" w:hAnsi="Arial" w:cs="Arial"/>
        </w:rPr>
        <w:t>____</w:t>
      </w:r>
      <w:r w:rsidR="00682A83" w:rsidRPr="000A122B">
        <w:rPr>
          <w:rFonts w:ascii="Arial" w:eastAsia="Arial" w:hAnsi="Arial" w:cs="Arial"/>
        </w:rPr>
        <w:t>__</w:t>
      </w:r>
    </w:p>
    <w:p w14:paraId="1CD86EAD" w14:textId="77777777" w:rsidR="00682A83" w:rsidRPr="000A122B" w:rsidRDefault="00682A83" w:rsidP="00296C5A">
      <w:pPr>
        <w:tabs>
          <w:tab w:val="left" w:pos="4320"/>
        </w:tabs>
        <w:spacing w:line="276" w:lineRule="auto"/>
        <w:rPr>
          <w:rFonts w:ascii="Arial" w:eastAsia="Arial" w:hAnsi="Arial" w:cs="Arial"/>
        </w:rPr>
      </w:pPr>
      <w:r w:rsidRPr="000A122B">
        <w:rPr>
          <w:rFonts w:ascii="Arial" w:eastAsia="Arial" w:hAnsi="Arial" w:cs="Arial"/>
        </w:rPr>
        <w:tab/>
        <w:t>Tonya Miller</w:t>
      </w:r>
    </w:p>
    <w:p w14:paraId="361A94AD" w14:textId="77777777" w:rsidR="00682A83" w:rsidRPr="000A122B" w:rsidRDefault="00682A83" w:rsidP="00682A83">
      <w:pPr>
        <w:tabs>
          <w:tab w:val="left" w:pos="4320"/>
        </w:tabs>
        <w:spacing w:line="276" w:lineRule="auto"/>
        <w:rPr>
          <w:rFonts w:ascii="Arial" w:eastAsia="Arial" w:hAnsi="Arial" w:cs="Arial"/>
        </w:rPr>
      </w:pPr>
      <w:r w:rsidRPr="000A122B">
        <w:rPr>
          <w:rFonts w:ascii="Arial" w:eastAsia="Arial" w:hAnsi="Arial" w:cs="Arial"/>
        </w:rPr>
        <w:tab/>
        <w:t>Executive Director Texas Solar Power Association</w:t>
      </w:r>
    </w:p>
    <w:p w14:paraId="34C682AC" w14:textId="77777777" w:rsidR="00682A83" w:rsidRPr="000A122B" w:rsidRDefault="00682A83" w:rsidP="00682A83">
      <w:pPr>
        <w:tabs>
          <w:tab w:val="left" w:pos="4320"/>
        </w:tabs>
        <w:spacing w:line="276" w:lineRule="auto"/>
        <w:rPr>
          <w:rFonts w:ascii="Arial" w:eastAsia="Arial" w:hAnsi="Arial" w:cs="Arial"/>
        </w:rPr>
      </w:pPr>
      <w:r w:rsidRPr="000A122B">
        <w:rPr>
          <w:rFonts w:ascii="Arial" w:eastAsia="Arial" w:hAnsi="Arial" w:cs="Arial"/>
        </w:rPr>
        <w:tab/>
      </w:r>
      <w:hyperlink r:id="rId9" w:history="1">
        <w:r w:rsidRPr="000A122B">
          <w:rPr>
            <w:rStyle w:val="Hyperlink"/>
            <w:rFonts w:ascii="Arial" w:eastAsia="Arial" w:hAnsi="Arial" w:cs="Arial"/>
          </w:rPr>
          <w:t>www.txsolarpower.com</w:t>
        </w:r>
      </w:hyperlink>
    </w:p>
    <w:p w14:paraId="3E8FC173" w14:textId="77777777" w:rsidR="00682A83" w:rsidRPr="000A122B" w:rsidRDefault="00682A83" w:rsidP="00682A83">
      <w:pPr>
        <w:tabs>
          <w:tab w:val="left" w:pos="4320"/>
        </w:tabs>
        <w:spacing w:line="276" w:lineRule="auto"/>
        <w:rPr>
          <w:rFonts w:ascii="Arial" w:eastAsia="Arial" w:hAnsi="Arial" w:cs="Arial"/>
        </w:rPr>
      </w:pPr>
      <w:r w:rsidRPr="000A122B">
        <w:rPr>
          <w:rFonts w:ascii="Arial" w:eastAsia="Arial" w:hAnsi="Arial" w:cs="Arial"/>
        </w:rPr>
        <w:tab/>
        <w:t>State Bar No. 24026771</w:t>
      </w:r>
    </w:p>
    <w:p w14:paraId="2BFD1EC3" w14:textId="77777777" w:rsidR="00682A83" w:rsidRPr="000A122B" w:rsidRDefault="00682A83" w:rsidP="00682A83">
      <w:pPr>
        <w:tabs>
          <w:tab w:val="left" w:pos="4320"/>
        </w:tabs>
        <w:spacing w:line="276" w:lineRule="auto"/>
        <w:rPr>
          <w:rFonts w:ascii="Arial" w:eastAsia="Arial" w:hAnsi="Arial" w:cs="Arial"/>
        </w:rPr>
      </w:pPr>
      <w:r w:rsidRPr="000A122B">
        <w:rPr>
          <w:rFonts w:ascii="Arial" w:eastAsia="Arial" w:hAnsi="Arial" w:cs="Arial"/>
        </w:rPr>
        <w:tab/>
      </w:r>
      <w:hyperlink r:id="rId10" w:history="1">
        <w:r w:rsidRPr="000A122B">
          <w:rPr>
            <w:rStyle w:val="Hyperlink"/>
            <w:rFonts w:ascii="Arial" w:eastAsia="Arial" w:hAnsi="Arial" w:cs="Arial"/>
          </w:rPr>
          <w:t>tonya@txsolarpower.org</w:t>
        </w:r>
      </w:hyperlink>
    </w:p>
    <w:p w14:paraId="2891EB58" w14:textId="77777777" w:rsidR="00682A83" w:rsidRPr="000A122B" w:rsidRDefault="00682A83" w:rsidP="00682A83">
      <w:pPr>
        <w:tabs>
          <w:tab w:val="left" w:pos="4320"/>
        </w:tabs>
        <w:spacing w:line="276" w:lineRule="auto"/>
        <w:rPr>
          <w:rFonts w:ascii="Arial" w:eastAsia="Arial" w:hAnsi="Arial" w:cs="Arial"/>
        </w:rPr>
      </w:pPr>
      <w:r w:rsidRPr="000A122B">
        <w:rPr>
          <w:rFonts w:ascii="Arial" w:eastAsia="Arial" w:hAnsi="Arial" w:cs="Arial"/>
        </w:rPr>
        <w:tab/>
        <w:t>(512) 560-9735</w:t>
      </w:r>
    </w:p>
    <w:p w14:paraId="00FE53E8" w14:textId="77777777" w:rsidR="00682A83" w:rsidRPr="000A122B" w:rsidRDefault="00682A83" w:rsidP="00682A83">
      <w:pPr>
        <w:tabs>
          <w:tab w:val="left" w:pos="4320"/>
        </w:tabs>
        <w:spacing w:line="276" w:lineRule="auto"/>
        <w:rPr>
          <w:rFonts w:ascii="Arial" w:eastAsia="Arial" w:hAnsi="Arial" w:cs="Arial"/>
        </w:rPr>
      </w:pPr>
    </w:p>
    <w:p w14:paraId="37E5A2F4" w14:textId="77777777" w:rsidR="00682A83" w:rsidRPr="000A122B" w:rsidRDefault="00682A83" w:rsidP="00682A83">
      <w:pPr>
        <w:tabs>
          <w:tab w:val="left" w:pos="4320"/>
        </w:tabs>
        <w:spacing w:line="276" w:lineRule="auto"/>
        <w:rPr>
          <w:rFonts w:ascii="Arial" w:eastAsia="Arial" w:hAnsi="Arial" w:cs="Arial"/>
        </w:rPr>
      </w:pPr>
    </w:p>
    <w:p w14:paraId="7FA942E7" w14:textId="77777777" w:rsidR="00682A83" w:rsidRPr="000A122B" w:rsidRDefault="00682A83" w:rsidP="00682A83">
      <w:pPr>
        <w:tabs>
          <w:tab w:val="left" w:pos="4320"/>
        </w:tabs>
        <w:rPr>
          <w:rFonts w:ascii="Arial" w:eastAsia="Arial" w:hAnsi="Arial" w:cs="Arial"/>
        </w:rPr>
      </w:pPr>
    </w:p>
    <w:p w14:paraId="1B78A28A" w14:textId="3ED166F4" w:rsidR="00682A83" w:rsidRPr="000A122B" w:rsidRDefault="00682A83" w:rsidP="00682A83">
      <w:pPr>
        <w:tabs>
          <w:tab w:val="left" w:pos="4320"/>
        </w:tabs>
        <w:rPr>
          <w:rFonts w:ascii="Arial" w:eastAsia="Arial" w:hAnsi="Arial" w:cs="Arial"/>
        </w:rPr>
      </w:pPr>
      <w:r w:rsidRPr="000A122B">
        <w:rPr>
          <w:rFonts w:ascii="Arial" w:eastAsia="Arial" w:hAnsi="Arial" w:cs="Arial"/>
        </w:rPr>
        <w:tab/>
      </w:r>
    </w:p>
    <w:p w14:paraId="7E003D1B" w14:textId="37EB1ED9" w:rsidR="00682A83" w:rsidRPr="000A122B" w:rsidRDefault="00C93DC1" w:rsidP="00682A83">
      <w:pPr>
        <w:ind w:left="4320"/>
        <w:rPr>
          <w:rFonts w:ascii="Arial" w:hAnsi="Arial" w:cs="Arial"/>
        </w:rPr>
      </w:pPr>
      <w:r>
        <w:rPr>
          <w:noProof/>
        </w:rPr>
        <w:lastRenderedPageBreak/>
        <w:drawing>
          <wp:inline distT="0" distB="0" distL="0" distR="0" wp14:anchorId="09DFE04F" wp14:editId="6CACDF88">
            <wp:extent cx="3048000" cy="695325"/>
            <wp:effectExtent l="0" t="0" r="0" b="9525"/>
            <wp:docPr id="1" name="Picture 1" descr="C:\Users\micha_000\AppData\Local\Microsoft\Windows\INetCacheContent.Word\MJJ_signature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micha_000\AppData\Local\Microsoft\Windows\INetCacheContent.Word\MJJ_signature_blue.jpg"/>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695325"/>
                    </a:xfrm>
                    <a:prstGeom prst="rect">
                      <a:avLst/>
                    </a:prstGeom>
                    <a:noFill/>
                    <a:ln>
                      <a:noFill/>
                    </a:ln>
                  </pic:spPr>
                </pic:pic>
              </a:graphicData>
            </a:graphic>
          </wp:inline>
        </w:drawing>
      </w:r>
      <w:r w:rsidR="00682A83" w:rsidRPr="000A122B">
        <w:rPr>
          <w:rFonts w:ascii="Arial" w:hAnsi="Arial" w:cs="Arial"/>
        </w:rPr>
        <w:t>__________________________________</w:t>
      </w:r>
    </w:p>
    <w:p w14:paraId="6A351EC1"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Michael J. Jewell</w:t>
      </w:r>
    </w:p>
    <w:p w14:paraId="12E9CC53"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Jewell &amp; Associates, PLLC</w:t>
      </w:r>
    </w:p>
    <w:p w14:paraId="2E504972"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State Bar No. 10665175</w:t>
      </w:r>
    </w:p>
    <w:p w14:paraId="591E6438"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8404 Lakewood Ridge Cove</w:t>
      </w:r>
    </w:p>
    <w:p w14:paraId="7DF78EF5"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Austin, TX 78738</w:t>
      </w:r>
    </w:p>
    <w:p w14:paraId="1D344C4F"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(512) 423-4065</w:t>
      </w:r>
    </w:p>
    <w:p w14:paraId="7A603D8D"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(512) 236-5170 (FAX)</w:t>
      </w:r>
    </w:p>
    <w:p w14:paraId="592635AB"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hyperlink r:id="rId12" w:history="1">
        <w:r w:rsidRPr="000A122B">
          <w:rPr>
            <w:rFonts w:ascii="Arial" w:hAnsi="Arial" w:cs="Arial"/>
            <w:color w:val="0563C1" w:themeColor="hyperlink"/>
            <w:u w:val="single"/>
          </w:rPr>
          <w:t>michael@jewellandassociates.com</w:t>
        </w:r>
      </w:hyperlink>
    </w:p>
    <w:p w14:paraId="29E5CD3F" w14:textId="77777777" w:rsidR="00682A83" w:rsidRPr="000A122B" w:rsidRDefault="00682A83" w:rsidP="00682A83">
      <w:pPr>
        <w:rPr>
          <w:rFonts w:ascii="Arial" w:hAnsi="Arial" w:cs="Arial"/>
        </w:rPr>
      </w:pP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r>
      <w:r w:rsidRPr="000A122B">
        <w:rPr>
          <w:rFonts w:ascii="Arial" w:hAnsi="Arial" w:cs="Arial"/>
        </w:rPr>
        <w:tab/>
        <w:t>ATTORNEY FOR SOLAR ENERGY</w:t>
      </w:r>
    </w:p>
    <w:p w14:paraId="6FFFA17B" w14:textId="77777777" w:rsidR="00682A83" w:rsidRPr="000A122B" w:rsidRDefault="00682A83" w:rsidP="00682A83">
      <w:pPr>
        <w:ind w:left="4320"/>
        <w:rPr>
          <w:rFonts w:ascii="Arial" w:hAnsi="Arial" w:cs="Arial"/>
        </w:rPr>
      </w:pPr>
      <w:r w:rsidRPr="000A122B">
        <w:rPr>
          <w:rFonts w:ascii="Arial" w:hAnsi="Arial" w:cs="Arial"/>
        </w:rPr>
        <w:t>INDUSTRIES ASSOCIATION</w:t>
      </w:r>
    </w:p>
    <w:p w14:paraId="3CE2E358" w14:textId="77777777" w:rsidR="00682A83" w:rsidRDefault="00682A83" w:rsidP="00682A83">
      <w:pPr>
        <w:tabs>
          <w:tab w:val="left" w:pos="4320"/>
        </w:tabs>
        <w:spacing w:line="276" w:lineRule="auto"/>
        <w:ind w:left="4320" w:firstLine="810"/>
        <w:rPr>
          <w:rFonts w:ascii="Arial" w:eastAsia="Arial" w:hAnsi="Arial" w:cs="Arial"/>
        </w:rPr>
      </w:pPr>
    </w:p>
    <w:p w14:paraId="673883F4" w14:textId="77777777" w:rsidR="00682A83" w:rsidRDefault="00682A83" w:rsidP="00682A83">
      <w:pPr>
        <w:tabs>
          <w:tab w:val="left" w:pos="4320"/>
        </w:tabs>
        <w:spacing w:line="276" w:lineRule="auto"/>
        <w:rPr>
          <w:rFonts w:ascii="Arial" w:eastAsia="Arial" w:hAnsi="Arial" w:cs="Arial"/>
        </w:rPr>
      </w:pPr>
    </w:p>
    <w:p w14:paraId="38332AFB" w14:textId="3C197312" w:rsidR="00153FF5" w:rsidRPr="003F10FB" w:rsidRDefault="00153FF5">
      <w:pPr>
        <w:rPr>
          <w:rFonts w:ascii="Arial" w:hAnsi="Arial" w:cs="Arial"/>
          <w:sz w:val="24"/>
          <w:szCs w:val="24"/>
        </w:rPr>
      </w:pPr>
    </w:p>
    <w:p w14:paraId="5896C08F" w14:textId="77777777" w:rsidR="00682A83" w:rsidRDefault="00682A83">
      <w:pPr>
        <w:rPr>
          <w:rFonts w:ascii="Arial" w:eastAsia="Times New Roman" w:hAnsi="Arial" w:cs="Arial"/>
          <w:b/>
          <w:color w:val="000000"/>
          <w:sz w:val="24"/>
          <w:szCs w:val="24"/>
        </w:rPr>
      </w:pPr>
      <w:r>
        <w:rPr>
          <w:rFonts w:ascii="Arial" w:eastAsia="Times New Roman" w:hAnsi="Arial" w:cs="Arial"/>
          <w:b/>
          <w:color w:val="000000"/>
          <w:sz w:val="24"/>
          <w:szCs w:val="24"/>
        </w:rPr>
        <w:br w:type="page"/>
      </w:r>
    </w:p>
    <w:p w14:paraId="33166DFA" w14:textId="02678645" w:rsidR="00153FF5" w:rsidRPr="003F10FB" w:rsidRDefault="00153FF5" w:rsidP="00153FF5">
      <w:pPr>
        <w:spacing w:before="11" w:line="278" w:lineRule="auto"/>
        <w:jc w:val="center"/>
        <w:rPr>
          <w:rFonts w:ascii="Arial" w:eastAsia="Times New Roman" w:hAnsi="Arial" w:cs="Arial"/>
          <w:b/>
          <w:color w:val="000000"/>
          <w:sz w:val="24"/>
          <w:szCs w:val="24"/>
        </w:rPr>
      </w:pPr>
      <w:r w:rsidRPr="003F10FB">
        <w:rPr>
          <w:rFonts w:ascii="Arial" w:eastAsia="Times New Roman" w:hAnsi="Arial" w:cs="Arial"/>
          <w:b/>
          <w:color w:val="000000"/>
          <w:sz w:val="24"/>
          <w:szCs w:val="24"/>
        </w:rPr>
        <w:lastRenderedPageBreak/>
        <w:t>PROJECT NO. 54584</w:t>
      </w:r>
    </w:p>
    <w:p w14:paraId="7E85D26E" w14:textId="77777777" w:rsidR="00153FF5" w:rsidRPr="003F10FB" w:rsidRDefault="00153FF5" w:rsidP="00153FF5">
      <w:pPr>
        <w:spacing w:before="11" w:line="278" w:lineRule="auto"/>
        <w:jc w:val="center"/>
        <w:rPr>
          <w:rFonts w:ascii="Arial" w:eastAsia="Times New Roman" w:hAnsi="Arial" w:cs="Arial"/>
          <w:b/>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360"/>
        <w:gridCol w:w="4495"/>
      </w:tblGrid>
      <w:tr w:rsidR="00153FF5" w:rsidRPr="003F10FB" w14:paraId="4D61F70F" w14:textId="77777777" w:rsidTr="00C93DC1">
        <w:tc>
          <w:tcPr>
            <w:tcW w:w="4495" w:type="dxa"/>
          </w:tcPr>
          <w:p w14:paraId="6EE6B228" w14:textId="457EE366" w:rsidR="00153FF5" w:rsidRPr="003F10FB" w:rsidRDefault="00153FF5" w:rsidP="00C93DC1">
            <w:pPr>
              <w:spacing w:before="11" w:line="278" w:lineRule="auto"/>
              <w:jc w:val="left"/>
              <w:rPr>
                <w:rFonts w:ascii="Arial" w:hAnsi="Arial" w:cs="Arial"/>
                <w:b/>
                <w:sz w:val="24"/>
                <w:szCs w:val="24"/>
              </w:rPr>
            </w:pPr>
            <w:r w:rsidRPr="003F10FB">
              <w:rPr>
                <w:rFonts w:ascii="Arial" w:hAnsi="Arial" w:cs="Arial"/>
                <w:b/>
                <w:sz w:val="24"/>
                <w:szCs w:val="24"/>
              </w:rPr>
              <w:t>RELIABILITY STANDARD</w:t>
            </w:r>
            <w:r w:rsidR="00C93DC1">
              <w:rPr>
                <w:rFonts w:ascii="Arial" w:hAnsi="Arial" w:cs="Arial"/>
                <w:b/>
                <w:sz w:val="24"/>
                <w:szCs w:val="24"/>
              </w:rPr>
              <w:t xml:space="preserve"> FOR</w:t>
            </w:r>
          </w:p>
          <w:p w14:paraId="7138B51E" w14:textId="1BCF092C" w:rsidR="00153FF5" w:rsidRPr="00C93DC1" w:rsidRDefault="00153FF5" w:rsidP="00C93DC1">
            <w:pPr>
              <w:spacing w:before="11" w:line="278" w:lineRule="auto"/>
              <w:jc w:val="left"/>
              <w:rPr>
                <w:rFonts w:ascii="Arial" w:hAnsi="Arial" w:cs="Arial"/>
                <w:b/>
                <w:sz w:val="24"/>
                <w:szCs w:val="24"/>
              </w:rPr>
            </w:pPr>
            <w:r w:rsidRPr="003F10FB">
              <w:rPr>
                <w:rFonts w:ascii="Arial" w:hAnsi="Arial" w:cs="Arial"/>
                <w:b/>
                <w:sz w:val="24"/>
                <w:szCs w:val="24"/>
              </w:rPr>
              <w:t>THE</w:t>
            </w:r>
            <w:r w:rsidR="00C93DC1">
              <w:rPr>
                <w:rFonts w:ascii="Arial" w:hAnsi="Arial" w:cs="Arial"/>
                <w:b/>
                <w:sz w:val="24"/>
                <w:szCs w:val="24"/>
              </w:rPr>
              <w:t xml:space="preserve"> </w:t>
            </w:r>
            <w:r w:rsidRPr="003F10FB">
              <w:rPr>
                <w:rFonts w:ascii="Arial" w:hAnsi="Arial" w:cs="Arial"/>
                <w:b/>
                <w:sz w:val="24"/>
                <w:szCs w:val="24"/>
              </w:rPr>
              <w:t>ERCOT MARKET</w:t>
            </w:r>
          </w:p>
        </w:tc>
        <w:tc>
          <w:tcPr>
            <w:tcW w:w="360" w:type="dxa"/>
          </w:tcPr>
          <w:p w14:paraId="27892428" w14:textId="77777777" w:rsidR="00153FF5" w:rsidRPr="003F10FB" w:rsidRDefault="00153FF5">
            <w:pPr>
              <w:pBdr>
                <w:top w:val="nil"/>
                <w:left w:val="nil"/>
                <w:bottom w:val="nil"/>
                <w:right w:val="nil"/>
                <w:between w:val="nil"/>
                <w:bar w:val="nil"/>
              </w:pBdr>
              <w:jc w:val="center"/>
              <w:rPr>
                <w:rFonts w:ascii="Arial" w:eastAsia="Avenir Heavy"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533CC781" w14:textId="77777777" w:rsidR="00153FF5" w:rsidRPr="003F10FB" w:rsidRDefault="00153FF5">
            <w:pPr>
              <w:pBdr>
                <w:top w:val="nil"/>
                <w:left w:val="nil"/>
                <w:bottom w:val="nil"/>
                <w:right w:val="nil"/>
                <w:between w:val="nil"/>
                <w:bar w:val="nil"/>
              </w:pBdr>
              <w:jc w:val="center"/>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w:t>
            </w:r>
          </w:p>
          <w:p w14:paraId="5DBE89CF" w14:textId="43AD3BBF" w:rsidR="00153FF5" w:rsidRPr="003F10FB" w:rsidRDefault="00153FF5">
            <w:pPr>
              <w:spacing w:before="11" w:line="278" w:lineRule="auto"/>
              <w:jc w:val="center"/>
              <w:rPr>
                <w:rFonts w:ascii="Arial" w:eastAsia="Times New Roman" w:hAnsi="Arial" w:cs="Arial"/>
                <w:b/>
                <w:color w:val="000000"/>
                <w:sz w:val="24"/>
                <w:szCs w:val="24"/>
              </w:rPr>
            </w:pPr>
          </w:p>
        </w:tc>
        <w:tc>
          <w:tcPr>
            <w:tcW w:w="4495" w:type="dxa"/>
          </w:tcPr>
          <w:p w14:paraId="71B9C441" w14:textId="77777777" w:rsidR="00153FF5" w:rsidRPr="003F10FB" w:rsidRDefault="00153FF5" w:rsidP="00C93DC1">
            <w:pPr>
              <w:pBdr>
                <w:top w:val="nil"/>
                <w:left w:val="nil"/>
                <w:bottom w:val="nil"/>
                <w:right w:val="nil"/>
                <w:between w:val="nil"/>
                <w:bar w:val="nil"/>
              </w:pBdr>
              <w:jc w:val="right"/>
              <w:rPr>
                <w:rFonts w:ascii="Arial" w:eastAsia="Arial Unicode MS" w:hAnsi="Arial" w:cs="Arial"/>
                <w:b/>
                <w:color w:val="000000"/>
                <w:sz w:val="24"/>
                <w:szCs w:val="24"/>
                <w:u w:color="000000"/>
                <w:bdr w:val="nil"/>
                <w14:textOutline w14:w="0" w14:cap="flat" w14:cmpd="sng" w14:algn="ctr">
                  <w14:noFill/>
                  <w14:prstDash w14:val="solid"/>
                  <w14:bevel/>
                </w14:textOutline>
              </w:rPr>
            </w:pPr>
            <w:r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PUBLIC UTILITY COMMISSION</w:t>
            </w:r>
          </w:p>
          <w:p w14:paraId="7E6D97B5" w14:textId="656736C6" w:rsidR="00153FF5" w:rsidRPr="003F10FB" w:rsidRDefault="00C93DC1" w:rsidP="00C93DC1">
            <w:pPr>
              <w:spacing w:before="11" w:line="278" w:lineRule="auto"/>
              <w:jc w:val="center"/>
              <w:rPr>
                <w:rFonts w:ascii="Arial" w:eastAsia="Times New Roman" w:hAnsi="Arial" w:cs="Arial"/>
                <w:b/>
                <w:color w:val="000000"/>
                <w:sz w:val="24"/>
                <w:szCs w:val="24"/>
              </w:rPr>
            </w:pPr>
            <w:r>
              <w:rPr>
                <w:rFonts w:ascii="Arial" w:eastAsia="Arial Unicode MS" w:hAnsi="Arial" w:cs="Arial"/>
                <w:b/>
                <w:color w:val="000000"/>
                <w:sz w:val="24"/>
                <w:szCs w:val="24"/>
                <w:u w:color="000000"/>
                <w:bdr w:val="nil"/>
                <w14:textOutline w14:w="0" w14:cap="flat" w14:cmpd="sng" w14:algn="ctr">
                  <w14:noFill/>
                  <w14:prstDash w14:val="solid"/>
                  <w14:bevel/>
                </w14:textOutline>
              </w:rPr>
              <w:t xml:space="preserve">      </w:t>
            </w:r>
            <w:r w:rsidR="00153FF5" w:rsidRPr="003F10FB">
              <w:rPr>
                <w:rFonts w:ascii="Arial" w:eastAsia="Arial Unicode MS" w:hAnsi="Arial" w:cs="Arial"/>
                <w:b/>
                <w:color w:val="000000"/>
                <w:sz w:val="24"/>
                <w:szCs w:val="24"/>
                <w:u w:color="000000"/>
                <w:bdr w:val="nil"/>
                <w14:textOutline w14:w="0" w14:cap="flat" w14:cmpd="sng" w14:algn="ctr">
                  <w14:noFill/>
                  <w14:prstDash w14:val="solid"/>
                  <w14:bevel/>
                </w14:textOutline>
              </w:rPr>
              <w:t>OF TEXAS</w:t>
            </w:r>
          </w:p>
        </w:tc>
      </w:tr>
    </w:tbl>
    <w:p w14:paraId="424FE17A" w14:textId="77777777" w:rsidR="00153FF5" w:rsidRPr="003F10FB" w:rsidRDefault="00153FF5" w:rsidP="00153FF5">
      <w:pPr>
        <w:tabs>
          <w:tab w:val="left" w:pos="7920"/>
        </w:tabs>
        <w:spacing w:line="259" w:lineRule="auto"/>
        <w:jc w:val="center"/>
        <w:rPr>
          <w:rFonts w:ascii="Arial" w:eastAsia="Calibri" w:hAnsi="Arial" w:cs="Arial"/>
          <w:b/>
          <w:sz w:val="24"/>
          <w:szCs w:val="24"/>
        </w:rPr>
      </w:pPr>
    </w:p>
    <w:p w14:paraId="24DD0D47" w14:textId="77777777" w:rsidR="00682A83" w:rsidRPr="003F10FB" w:rsidRDefault="00682A83" w:rsidP="00682A83">
      <w:pPr>
        <w:pBdr>
          <w:top w:val="nil"/>
          <w:left w:val="nil"/>
          <w:bottom w:val="nil"/>
          <w:right w:val="nil"/>
          <w:between w:val="nil"/>
        </w:pBdr>
        <w:jc w:val="center"/>
        <w:rPr>
          <w:rFonts w:ascii="Arial" w:eastAsia="Arial" w:hAnsi="Arial" w:cs="Arial"/>
          <w:b/>
          <w:bCs/>
          <w:color w:val="000000"/>
          <w:sz w:val="24"/>
          <w:szCs w:val="24"/>
        </w:rPr>
      </w:pPr>
      <w:r w:rsidRPr="003F10FB">
        <w:rPr>
          <w:rFonts w:ascii="Arial" w:eastAsia="Arial" w:hAnsi="Arial" w:cs="Arial"/>
          <w:b/>
          <w:bCs/>
          <w:color w:val="000000"/>
          <w:sz w:val="24"/>
          <w:szCs w:val="24"/>
        </w:rPr>
        <w:t xml:space="preserve">JOINT COMMENTS OF TEXAS SOLAR POWER ASSOCIATION AND SOLAR ENERGY INDUSTRIES ASSOCIATION ON STAFF </w:t>
      </w:r>
      <w:r>
        <w:rPr>
          <w:rFonts w:ascii="Arial" w:eastAsia="Arial" w:hAnsi="Arial" w:cs="Arial"/>
          <w:b/>
          <w:bCs/>
          <w:color w:val="000000"/>
          <w:sz w:val="24"/>
          <w:szCs w:val="24"/>
        </w:rPr>
        <w:t>QUESTIONS</w:t>
      </w:r>
    </w:p>
    <w:p w14:paraId="4F532C5E" w14:textId="77777777" w:rsidR="00682A83" w:rsidRPr="003F10FB" w:rsidRDefault="00682A83" w:rsidP="00682A83">
      <w:pPr>
        <w:pBdr>
          <w:top w:val="nil"/>
          <w:left w:val="nil"/>
          <w:bottom w:val="nil"/>
          <w:right w:val="nil"/>
          <w:between w:val="nil"/>
        </w:pBdr>
        <w:jc w:val="center"/>
        <w:rPr>
          <w:rFonts w:ascii="Arial" w:hAnsi="Arial" w:cs="Arial"/>
          <w:b/>
          <w:sz w:val="24"/>
          <w:szCs w:val="24"/>
        </w:rPr>
      </w:pPr>
    </w:p>
    <w:p w14:paraId="350B54BC" w14:textId="3A0D7C09" w:rsidR="00153FF5" w:rsidRPr="003F10FB" w:rsidRDefault="00153FF5" w:rsidP="00153FF5">
      <w:pPr>
        <w:tabs>
          <w:tab w:val="left" w:pos="7920"/>
        </w:tabs>
        <w:spacing w:line="259" w:lineRule="auto"/>
        <w:jc w:val="center"/>
        <w:rPr>
          <w:rFonts w:ascii="Arial" w:eastAsia="Calibri" w:hAnsi="Arial" w:cs="Arial"/>
          <w:b/>
          <w:sz w:val="24"/>
          <w:szCs w:val="24"/>
        </w:rPr>
      </w:pPr>
      <w:r w:rsidRPr="003F10FB">
        <w:rPr>
          <w:rFonts w:ascii="Arial" w:eastAsia="Calibri" w:hAnsi="Arial" w:cs="Arial"/>
          <w:b/>
          <w:sz w:val="24"/>
          <w:szCs w:val="24"/>
        </w:rPr>
        <w:t>EXECUTIVE SUMMARY</w:t>
      </w:r>
    </w:p>
    <w:p w14:paraId="35E1D0DD" w14:textId="77777777" w:rsidR="00153FF5" w:rsidRPr="003F10FB" w:rsidRDefault="00153FF5" w:rsidP="00892FB5">
      <w:pPr>
        <w:spacing w:after="240"/>
        <w:ind w:left="720" w:hanging="720"/>
        <w:rPr>
          <w:rFonts w:ascii="Arial" w:hAnsi="Arial" w:cs="Arial"/>
          <w:sz w:val="24"/>
          <w:szCs w:val="24"/>
        </w:rPr>
      </w:pPr>
    </w:p>
    <w:p w14:paraId="4B76A816" w14:textId="77777777" w:rsidR="00892FB5" w:rsidRDefault="00892FB5" w:rsidP="00892FB5">
      <w:pPr>
        <w:pStyle w:val="ListParagraph"/>
        <w:numPr>
          <w:ilvl w:val="0"/>
          <w:numId w:val="5"/>
        </w:numPr>
        <w:spacing w:after="240"/>
        <w:ind w:left="720" w:hanging="720"/>
        <w:rPr>
          <w:rFonts w:ascii="Arial" w:hAnsi="Arial" w:cs="Arial"/>
          <w:sz w:val="24"/>
          <w:szCs w:val="24"/>
        </w:rPr>
      </w:pPr>
      <w:r>
        <w:rPr>
          <w:rFonts w:ascii="Arial" w:hAnsi="Arial" w:cs="Arial"/>
          <w:sz w:val="24"/>
          <w:szCs w:val="24"/>
        </w:rPr>
        <w:t>ERCOT should consider magnitude, frequency, and duration  as variables in the analysis.</w:t>
      </w:r>
    </w:p>
    <w:p w14:paraId="221B37CC" w14:textId="77777777" w:rsidR="00892FB5" w:rsidRDefault="00892FB5" w:rsidP="00892FB5">
      <w:pPr>
        <w:pStyle w:val="ListParagraph"/>
        <w:numPr>
          <w:ilvl w:val="0"/>
          <w:numId w:val="5"/>
        </w:numPr>
        <w:spacing w:after="240"/>
        <w:ind w:left="720" w:hanging="720"/>
        <w:rPr>
          <w:rFonts w:ascii="Arial" w:hAnsi="Arial" w:cs="Arial"/>
          <w:sz w:val="24"/>
          <w:szCs w:val="24"/>
        </w:rPr>
      </w:pPr>
      <w:r>
        <w:rPr>
          <w:rFonts w:ascii="Arial" w:hAnsi="Arial" w:cs="Arial"/>
          <w:sz w:val="24"/>
          <w:szCs w:val="24"/>
        </w:rPr>
        <w:t xml:space="preserve">The </w:t>
      </w:r>
      <w:r w:rsidRPr="00FA50D7">
        <w:rPr>
          <w:rFonts w:ascii="Arial" w:hAnsi="Arial" w:cs="Arial"/>
          <w:sz w:val="24"/>
          <w:szCs w:val="24"/>
        </w:rPr>
        <w:t xml:space="preserve">Commission </w:t>
      </w:r>
      <w:r>
        <w:rPr>
          <w:rFonts w:ascii="Arial" w:hAnsi="Arial" w:cs="Arial"/>
          <w:sz w:val="24"/>
          <w:szCs w:val="24"/>
        </w:rPr>
        <w:t xml:space="preserve">should </w:t>
      </w:r>
      <w:r w:rsidRPr="00FA50D7">
        <w:rPr>
          <w:rFonts w:ascii="Arial" w:hAnsi="Arial" w:cs="Arial"/>
          <w:sz w:val="24"/>
          <w:szCs w:val="24"/>
        </w:rPr>
        <w:t>evaluate multiple metric</w:t>
      </w:r>
      <w:r>
        <w:rPr>
          <w:rFonts w:ascii="Arial" w:hAnsi="Arial" w:cs="Arial"/>
          <w:sz w:val="24"/>
          <w:szCs w:val="24"/>
        </w:rPr>
        <w:t>s,</w:t>
      </w:r>
      <w:r w:rsidRPr="00FA50D7">
        <w:rPr>
          <w:rFonts w:ascii="Arial" w:hAnsi="Arial" w:cs="Arial"/>
          <w:sz w:val="24"/>
          <w:szCs w:val="24"/>
        </w:rPr>
        <w:t xml:space="preserve"> and avoid overreliance on a single metric</w:t>
      </w:r>
      <w:r>
        <w:rPr>
          <w:rFonts w:ascii="Arial" w:hAnsi="Arial" w:cs="Arial"/>
          <w:sz w:val="24"/>
          <w:szCs w:val="24"/>
        </w:rPr>
        <w:t>.</w:t>
      </w:r>
    </w:p>
    <w:p w14:paraId="093864DB" w14:textId="77777777" w:rsidR="00892FB5" w:rsidRDefault="00892FB5" w:rsidP="00892FB5">
      <w:pPr>
        <w:pStyle w:val="ListParagraph"/>
        <w:numPr>
          <w:ilvl w:val="0"/>
          <w:numId w:val="5"/>
        </w:numPr>
        <w:spacing w:after="240"/>
        <w:ind w:left="720" w:hanging="720"/>
        <w:rPr>
          <w:rFonts w:ascii="Arial" w:hAnsi="Arial" w:cs="Arial"/>
          <w:sz w:val="24"/>
          <w:szCs w:val="24"/>
        </w:rPr>
      </w:pPr>
      <w:r w:rsidRPr="00FA50D7">
        <w:rPr>
          <w:rFonts w:ascii="Arial" w:hAnsi="Arial" w:cs="Arial"/>
          <w:sz w:val="24"/>
          <w:szCs w:val="24"/>
        </w:rPr>
        <w:t>The Commission could also consider looking at the same metric in multiple ways by, for example, calculating a seasonal version and/or looking at outlier events rather than averaging over them</w:t>
      </w:r>
      <w:r>
        <w:rPr>
          <w:rFonts w:ascii="Arial" w:hAnsi="Arial" w:cs="Arial"/>
          <w:sz w:val="24"/>
          <w:szCs w:val="24"/>
        </w:rPr>
        <w:t>.</w:t>
      </w:r>
    </w:p>
    <w:p w14:paraId="5381CD92" w14:textId="77777777" w:rsidR="00892FB5" w:rsidRPr="007277E4" w:rsidRDefault="00892FB5" w:rsidP="00892FB5">
      <w:pPr>
        <w:pStyle w:val="ListParagraph"/>
        <w:numPr>
          <w:ilvl w:val="0"/>
          <w:numId w:val="5"/>
        </w:numPr>
        <w:spacing w:after="240"/>
        <w:ind w:left="720" w:hanging="720"/>
        <w:rPr>
          <w:rFonts w:ascii="Arial" w:hAnsi="Arial" w:cs="Arial"/>
          <w:sz w:val="24"/>
          <w:szCs w:val="24"/>
        </w:rPr>
      </w:pPr>
      <w:r>
        <w:rPr>
          <w:rFonts w:ascii="Arial" w:hAnsi="Arial" w:cs="Arial"/>
          <w:sz w:val="24"/>
          <w:szCs w:val="24"/>
        </w:rPr>
        <w:t>ERCOT should also include w</w:t>
      </w:r>
      <w:r w:rsidRPr="007277E4">
        <w:rPr>
          <w:rFonts w:ascii="Arial" w:hAnsi="Arial" w:cs="Arial"/>
          <w:sz w:val="24"/>
          <w:szCs w:val="24"/>
        </w:rPr>
        <w:t>eather-related correlated outages or other common mode failures in the reliability analysis</w:t>
      </w:r>
      <w:r>
        <w:rPr>
          <w:rFonts w:ascii="Arial" w:hAnsi="Arial" w:cs="Arial"/>
          <w:sz w:val="24"/>
          <w:szCs w:val="24"/>
        </w:rPr>
        <w:t xml:space="preserve"> </w:t>
      </w:r>
      <w:r w:rsidRPr="007277E4">
        <w:rPr>
          <w:rFonts w:ascii="Arial" w:hAnsi="Arial" w:cs="Arial"/>
          <w:sz w:val="24"/>
          <w:szCs w:val="24"/>
        </w:rPr>
        <w:t>in addition to forced outages due to mechanical failures.</w:t>
      </w:r>
    </w:p>
    <w:p w14:paraId="35B833BB" w14:textId="77777777" w:rsidR="00892FB5" w:rsidRDefault="00892FB5" w:rsidP="00892FB5">
      <w:pPr>
        <w:pStyle w:val="ListParagraph"/>
        <w:numPr>
          <w:ilvl w:val="0"/>
          <w:numId w:val="5"/>
        </w:numPr>
        <w:tabs>
          <w:tab w:val="left" w:pos="720"/>
        </w:tabs>
        <w:spacing w:after="240"/>
        <w:ind w:left="720" w:hanging="720"/>
        <w:rPr>
          <w:rFonts w:ascii="Arial" w:hAnsi="Arial" w:cs="Arial"/>
          <w:sz w:val="24"/>
          <w:szCs w:val="24"/>
        </w:rPr>
      </w:pPr>
      <w:r>
        <w:rPr>
          <w:rFonts w:ascii="Arial" w:hAnsi="Arial" w:cs="Arial"/>
          <w:sz w:val="24"/>
          <w:szCs w:val="24"/>
        </w:rPr>
        <w:t>The Commission should avoid</w:t>
      </w:r>
      <w:r w:rsidRPr="00FA50D7">
        <w:rPr>
          <w:rFonts w:ascii="Arial" w:hAnsi="Arial" w:cs="Arial"/>
          <w:sz w:val="24"/>
          <w:szCs w:val="24"/>
        </w:rPr>
        <w:t xml:space="preserve"> implementation of deliverability concepts that harm the market</w:t>
      </w:r>
      <w:r>
        <w:rPr>
          <w:rFonts w:ascii="Arial" w:hAnsi="Arial" w:cs="Arial"/>
          <w:sz w:val="24"/>
          <w:szCs w:val="24"/>
        </w:rPr>
        <w:t xml:space="preserve"> and decline to adopt interconnection policies from other RTOs that are expensive, uncertain, and arduous.</w:t>
      </w:r>
    </w:p>
    <w:p w14:paraId="76A550AA" w14:textId="77777777" w:rsidR="00892FB5" w:rsidRDefault="00892FB5" w:rsidP="00892FB5">
      <w:pPr>
        <w:pStyle w:val="ListParagraph"/>
        <w:numPr>
          <w:ilvl w:val="0"/>
          <w:numId w:val="5"/>
        </w:numPr>
        <w:tabs>
          <w:tab w:val="left" w:pos="720"/>
        </w:tabs>
        <w:spacing w:after="240"/>
        <w:ind w:left="720" w:hanging="720"/>
        <w:rPr>
          <w:rFonts w:ascii="Arial" w:hAnsi="Arial" w:cs="Arial"/>
          <w:sz w:val="24"/>
          <w:szCs w:val="24"/>
        </w:rPr>
      </w:pPr>
      <w:r w:rsidRPr="00EC5E13">
        <w:rPr>
          <w:rFonts w:ascii="Arial" w:hAnsi="Arial" w:cs="Arial"/>
          <w:sz w:val="24"/>
          <w:szCs w:val="24"/>
        </w:rPr>
        <w:t>ERCOT frequently curtails generation due to a lack of new economic transmission projects. For this reason, the Commission should consider transmission as a potential solution to reliability challenges that does not require additional generation or capacity.</w:t>
      </w:r>
    </w:p>
    <w:p w14:paraId="3F1491C1" w14:textId="77777777" w:rsidR="00892FB5" w:rsidRPr="00B728AC" w:rsidRDefault="00892FB5" w:rsidP="00892FB5">
      <w:pPr>
        <w:pStyle w:val="ListParagraph"/>
        <w:numPr>
          <w:ilvl w:val="0"/>
          <w:numId w:val="5"/>
        </w:numPr>
        <w:tabs>
          <w:tab w:val="left" w:pos="720"/>
        </w:tabs>
        <w:spacing w:after="240"/>
        <w:ind w:left="720" w:hanging="720"/>
        <w:rPr>
          <w:rFonts w:ascii="Arial" w:hAnsi="Arial" w:cs="Arial"/>
          <w:sz w:val="24"/>
          <w:szCs w:val="24"/>
        </w:rPr>
      </w:pPr>
      <w:r w:rsidRPr="007277E4">
        <w:rPr>
          <w:rFonts w:ascii="Arial" w:hAnsi="Arial" w:cs="Arial"/>
          <w:sz w:val="24"/>
          <w:szCs w:val="24"/>
        </w:rPr>
        <w:t xml:space="preserve">The reliability study should clearly identify the costs associated with various reliability </w:t>
      </w:r>
      <w:r>
        <w:rPr>
          <w:rFonts w:ascii="Arial" w:hAnsi="Arial" w:cs="Arial"/>
          <w:sz w:val="24"/>
          <w:szCs w:val="24"/>
        </w:rPr>
        <w:t xml:space="preserve">metrics so the Commission and the public </w:t>
      </w:r>
      <w:r w:rsidRPr="007277E4">
        <w:rPr>
          <w:rFonts w:ascii="Arial" w:hAnsi="Arial" w:cs="Arial"/>
          <w:sz w:val="24"/>
          <w:szCs w:val="24"/>
        </w:rPr>
        <w:t>can make informed decisions regarding the value of reliability improvements</w:t>
      </w:r>
      <w:r>
        <w:rPr>
          <w:rFonts w:ascii="Arial" w:hAnsi="Arial" w:cs="Arial"/>
          <w:sz w:val="24"/>
          <w:szCs w:val="24"/>
        </w:rPr>
        <w:t>.</w:t>
      </w:r>
    </w:p>
    <w:p w14:paraId="132866AB" w14:textId="77777777" w:rsidR="00892FB5" w:rsidRPr="007277E4" w:rsidRDefault="00892FB5" w:rsidP="00892FB5">
      <w:pPr>
        <w:pStyle w:val="ListParagraph"/>
        <w:numPr>
          <w:ilvl w:val="0"/>
          <w:numId w:val="5"/>
        </w:numPr>
        <w:tabs>
          <w:tab w:val="left" w:pos="720"/>
        </w:tabs>
        <w:spacing w:after="240"/>
        <w:ind w:left="720" w:hanging="720"/>
        <w:rPr>
          <w:rFonts w:ascii="Arial" w:hAnsi="Arial" w:cs="Arial"/>
          <w:sz w:val="24"/>
          <w:szCs w:val="24"/>
        </w:rPr>
      </w:pPr>
      <w:r>
        <w:rPr>
          <w:rFonts w:ascii="Arial" w:hAnsi="Arial" w:cs="Arial"/>
          <w:sz w:val="24"/>
          <w:szCs w:val="24"/>
        </w:rPr>
        <w:t xml:space="preserve">Resource adequacy is only one part of system reliability.  </w:t>
      </w:r>
      <w:r w:rsidRPr="00B728AC">
        <w:rPr>
          <w:rFonts w:ascii="Arial" w:hAnsi="Arial" w:cs="Arial"/>
          <w:sz w:val="24"/>
          <w:szCs w:val="24"/>
        </w:rPr>
        <w:t xml:space="preserve">Cost transparency will </w:t>
      </w:r>
      <w:r>
        <w:rPr>
          <w:rFonts w:ascii="Arial" w:hAnsi="Arial" w:cs="Arial"/>
          <w:sz w:val="24"/>
          <w:szCs w:val="24"/>
        </w:rPr>
        <w:t xml:space="preserve">also </w:t>
      </w:r>
      <w:r w:rsidRPr="00B728AC">
        <w:rPr>
          <w:rFonts w:ascii="Arial" w:hAnsi="Arial" w:cs="Arial"/>
          <w:sz w:val="24"/>
          <w:szCs w:val="24"/>
        </w:rPr>
        <w:t>help the Commission determine</w:t>
      </w:r>
      <w:r>
        <w:rPr>
          <w:rFonts w:ascii="Arial" w:hAnsi="Arial" w:cs="Arial"/>
          <w:sz w:val="24"/>
          <w:szCs w:val="24"/>
        </w:rPr>
        <w:t xml:space="preserve"> how to </w:t>
      </w:r>
      <w:r w:rsidRPr="00B728AC">
        <w:rPr>
          <w:rFonts w:ascii="Arial" w:hAnsi="Arial" w:cs="Arial"/>
          <w:sz w:val="24"/>
          <w:szCs w:val="24"/>
        </w:rPr>
        <w:t>allocat</w:t>
      </w:r>
      <w:r>
        <w:rPr>
          <w:rFonts w:ascii="Arial" w:hAnsi="Arial" w:cs="Arial"/>
          <w:sz w:val="24"/>
          <w:szCs w:val="24"/>
        </w:rPr>
        <w:t>e</w:t>
      </w:r>
      <w:r w:rsidRPr="00B728AC">
        <w:rPr>
          <w:rFonts w:ascii="Arial" w:hAnsi="Arial" w:cs="Arial"/>
          <w:sz w:val="24"/>
          <w:szCs w:val="24"/>
        </w:rPr>
        <w:t xml:space="preserve"> dollars between resource adequacy and increasing investments in transmission and distribution</w:t>
      </w:r>
      <w:r>
        <w:rPr>
          <w:rFonts w:ascii="Arial" w:hAnsi="Arial" w:cs="Arial"/>
          <w:sz w:val="24"/>
          <w:szCs w:val="24"/>
        </w:rPr>
        <w:t>.</w:t>
      </w:r>
    </w:p>
    <w:p w14:paraId="0FF76186" w14:textId="77777777" w:rsidR="00892FB5" w:rsidRPr="00B728AC" w:rsidRDefault="00892FB5" w:rsidP="00892FB5">
      <w:pPr>
        <w:pStyle w:val="ListParagraph"/>
        <w:numPr>
          <w:ilvl w:val="0"/>
          <w:numId w:val="5"/>
        </w:numPr>
        <w:spacing w:after="240"/>
        <w:ind w:left="720" w:hanging="720"/>
        <w:rPr>
          <w:rFonts w:ascii="Arial" w:hAnsi="Arial" w:cs="Arial"/>
          <w:sz w:val="24"/>
          <w:szCs w:val="24"/>
        </w:rPr>
      </w:pPr>
      <w:r w:rsidRPr="00B728AC">
        <w:rPr>
          <w:rFonts w:ascii="Arial" w:hAnsi="Arial" w:cs="Arial"/>
          <w:sz w:val="24"/>
          <w:szCs w:val="24"/>
        </w:rPr>
        <w:t xml:space="preserve">The Commission </w:t>
      </w:r>
      <w:r>
        <w:rPr>
          <w:rFonts w:ascii="Arial" w:hAnsi="Arial" w:cs="Arial"/>
          <w:sz w:val="24"/>
          <w:szCs w:val="24"/>
        </w:rPr>
        <w:t xml:space="preserve">should </w:t>
      </w:r>
      <w:r w:rsidRPr="00B728AC">
        <w:rPr>
          <w:rFonts w:ascii="Arial" w:hAnsi="Arial" w:cs="Arial"/>
          <w:sz w:val="24"/>
          <w:szCs w:val="24"/>
        </w:rPr>
        <w:t>work with the Comptroller’s office and the Dallas Federal Reserve on the best way to model the Texas economy to determine a curve for the value of lost load of different segments.</w:t>
      </w:r>
    </w:p>
    <w:p w14:paraId="20651C63" w14:textId="77777777" w:rsidR="00892FB5" w:rsidRPr="007277E4" w:rsidRDefault="00892FB5" w:rsidP="00892FB5">
      <w:pPr>
        <w:pStyle w:val="ListParagraph"/>
        <w:numPr>
          <w:ilvl w:val="0"/>
          <w:numId w:val="5"/>
        </w:numPr>
        <w:spacing w:after="240"/>
        <w:ind w:left="720" w:hanging="720"/>
        <w:rPr>
          <w:rFonts w:ascii="Arial" w:hAnsi="Arial" w:cs="Arial"/>
          <w:sz w:val="24"/>
          <w:szCs w:val="24"/>
        </w:rPr>
      </w:pPr>
      <w:r w:rsidRPr="007277E4">
        <w:rPr>
          <w:rFonts w:ascii="Arial" w:hAnsi="Arial" w:cs="Arial"/>
          <w:sz w:val="24"/>
          <w:szCs w:val="24"/>
        </w:rPr>
        <w:t xml:space="preserve">The </w:t>
      </w:r>
      <w:r>
        <w:rPr>
          <w:rFonts w:ascii="Arial" w:hAnsi="Arial" w:cs="Arial"/>
          <w:sz w:val="24"/>
          <w:szCs w:val="24"/>
        </w:rPr>
        <w:t xml:space="preserve">reliability </w:t>
      </w:r>
      <w:r w:rsidRPr="007277E4">
        <w:rPr>
          <w:rFonts w:ascii="Arial" w:hAnsi="Arial" w:cs="Arial"/>
          <w:sz w:val="24"/>
          <w:szCs w:val="24"/>
        </w:rPr>
        <w:t>analysis should incorporate renewable resources, energy-limited resources, and load flexibility in both determining capacity needs and in developing potential solutions to reliability problems.</w:t>
      </w:r>
    </w:p>
    <w:p w14:paraId="528A4957" w14:textId="6BD3EE54" w:rsidR="00153FF5" w:rsidRPr="00892FB5" w:rsidRDefault="00892FB5" w:rsidP="00892FB5">
      <w:pPr>
        <w:pStyle w:val="ListParagraph"/>
        <w:numPr>
          <w:ilvl w:val="0"/>
          <w:numId w:val="5"/>
        </w:numPr>
        <w:spacing w:after="240"/>
        <w:ind w:left="720" w:hanging="720"/>
        <w:rPr>
          <w:rFonts w:ascii="Arial" w:hAnsi="Arial" w:cs="Arial"/>
          <w:sz w:val="24"/>
          <w:szCs w:val="24"/>
        </w:rPr>
      </w:pPr>
      <w:r w:rsidRPr="00947D35">
        <w:rPr>
          <w:rFonts w:ascii="Arial" w:hAnsi="Arial" w:cs="Arial"/>
          <w:sz w:val="24"/>
          <w:szCs w:val="24"/>
        </w:rPr>
        <w:t>The Commission should update the calculation fairly frequently analyzing the trade-offs between the cost of entry and the cost of new transmission, or the value of lost load curve</w:t>
      </w:r>
      <w:r>
        <w:rPr>
          <w:rFonts w:ascii="Arial" w:hAnsi="Arial" w:cs="Arial"/>
          <w:sz w:val="24"/>
          <w:szCs w:val="24"/>
        </w:rPr>
        <w:t>.</w:t>
      </w:r>
    </w:p>
    <w:sectPr w:rsidR="00153FF5" w:rsidRPr="00892FB5" w:rsidSect="00913D63">
      <w:headerReference w:type="default" r:id="rId13"/>
      <w:footerReference w:type="default" r:id="rId14"/>
      <w:headerReference w:type="first" r:id="rId15"/>
      <w:footerReference w:type="first" r:id="rId16"/>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D8D6" w14:textId="77777777" w:rsidR="00693936" w:rsidRDefault="00693936" w:rsidP="003150CD">
      <w:r>
        <w:separator/>
      </w:r>
    </w:p>
  </w:endnote>
  <w:endnote w:type="continuationSeparator" w:id="0">
    <w:p w14:paraId="667C74F7" w14:textId="77777777" w:rsidR="00693936" w:rsidRDefault="00693936" w:rsidP="003150CD">
      <w:r>
        <w:continuationSeparator/>
      </w:r>
    </w:p>
  </w:endnote>
  <w:endnote w:type="continuationNotice" w:id="1">
    <w:p w14:paraId="4D9913F6" w14:textId="77777777" w:rsidR="00693936" w:rsidRDefault="00693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Heavy">
    <w:charset w:val="4D"/>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862131"/>
      <w:docPartObj>
        <w:docPartGallery w:val="Page Numbers (Bottom of Page)"/>
        <w:docPartUnique/>
      </w:docPartObj>
    </w:sdtPr>
    <w:sdtEndPr>
      <w:rPr>
        <w:rFonts w:ascii="Times New Roman" w:hAnsi="Times New Roman" w:cs="Times New Roman"/>
        <w:noProof/>
      </w:rPr>
    </w:sdtEndPr>
    <w:sdtContent>
      <w:p w14:paraId="47256A4F" w14:textId="743400BE" w:rsidR="0006002B" w:rsidRPr="004C1379" w:rsidRDefault="0006002B">
        <w:pPr>
          <w:pStyle w:val="Footer"/>
          <w:jc w:val="right"/>
          <w:rPr>
            <w:rFonts w:ascii="Times New Roman" w:hAnsi="Times New Roman" w:cs="Times New Roman"/>
          </w:rPr>
        </w:pPr>
        <w:r w:rsidRPr="004C1379">
          <w:rPr>
            <w:rFonts w:ascii="Times New Roman" w:hAnsi="Times New Roman" w:cs="Times New Roman"/>
          </w:rPr>
          <w:fldChar w:fldCharType="begin"/>
        </w:r>
        <w:r w:rsidRPr="004C1379">
          <w:rPr>
            <w:rFonts w:ascii="Times New Roman" w:hAnsi="Times New Roman" w:cs="Times New Roman"/>
          </w:rPr>
          <w:instrText xml:space="preserve"> PAGE   \* MERGEFORMAT </w:instrText>
        </w:r>
        <w:r w:rsidRPr="004C1379">
          <w:rPr>
            <w:rFonts w:ascii="Times New Roman" w:hAnsi="Times New Roman" w:cs="Times New Roman"/>
          </w:rPr>
          <w:fldChar w:fldCharType="separate"/>
        </w:r>
        <w:r w:rsidRPr="004C1379">
          <w:rPr>
            <w:rFonts w:ascii="Times New Roman" w:hAnsi="Times New Roman" w:cs="Times New Roman"/>
            <w:noProof/>
          </w:rPr>
          <w:t>2</w:t>
        </w:r>
        <w:r w:rsidRPr="004C1379">
          <w:rPr>
            <w:rFonts w:ascii="Times New Roman" w:hAnsi="Times New Roman" w:cs="Times New Roman"/>
            <w:noProof/>
          </w:rPr>
          <w:fldChar w:fldCharType="end"/>
        </w:r>
      </w:p>
    </w:sdtContent>
  </w:sdt>
  <w:p w14:paraId="092065FD" w14:textId="77777777" w:rsidR="003150CD" w:rsidRDefault="003150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3711035" w14:paraId="2B3E11EC" w14:textId="77777777" w:rsidTr="73711035">
      <w:trPr>
        <w:trHeight w:val="300"/>
      </w:trPr>
      <w:tc>
        <w:tcPr>
          <w:tcW w:w="3120" w:type="dxa"/>
        </w:tcPr>
        <w:p w14:paraId="3A80A998" w14:textId="1B0A2E16" w:rsidR="73711035" w:rsidRDefault="73711035" w:rsidP="73711035">
          <w:pPr>
            <w:pStyle w:val="Header"/>
            <w:ind w:left="-115"/>
            <w:jc w:val="left"/>
          </w:pPr>
        </w:p>
      </w:tc>
      <w:tc>
        <w:tcPr>
          <w:tcW w:w="3120" w:type="dxa"/>
        </w:tcPr>
        <w:p w14:paraId="3FFB61C6" w14:textId="35E00298" w:rsidR="73711035" w:rsidRDefault="73711035" w:rsidP="73711035">
          <w:pPr>
            <w:pStyle w:val="Header"/>
            <w:jc w:val="center"/>
          </w:pPr>
        </w:p>
      </w:tc>
      <w:tc>
        <w:tcPr>
          <w:tcW w:w="3120" w:type="dxa"/>
        </w:tcPr>
        <w:p w14:paraId="732F9E3C" w14:textId="06E7585E" w:rsidR="73711035" w:rsidRDefault="73711035" w:rsidP="73711035">
          <w:pPr>
            <w:pStyle w:val="Header"/>
            <w:ind w:right="-115"/>
            <w:jc w:val="right"/>
          </w:pPr>
        </w:p>
      </w:tc>
    </w:tr>
  </w:tbl>
  <w:p w14:paraId="3286F852" w14:textId="04906756" w:rsidR="73711035" w:rsidRDefault="73711035" w:rsidP="73711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CF03" w14:textId="77777777" w:rsidR="00693936" w:rsidRDefault="00693936" w:rsidP="003150CD">
      <w:r>
        <w:separator/>
      </w:r>
    </w:p>
  </w:footnote>
  <w:footnote w:type="continuationSeparator" w:id="0">
    <w:p w14:paraId="24853561" w14:textId="77777777" w:rsidR="00693936" w:rsidRDefault="00693936" w:rsidP="003150CD">
      <w:r>
        <w:continuationSeparator/>
      </w:r>
    </w:p>
  </w:footnote>
  <w:footnote w:type="continuationNotice" w:id="1">
    <w:p w14:paraId="115E881E" w14:textId="77777777" w:rsidR="00693936" w:rsidRDefault="00693936"/>
  </w:footnote>
  <w:footnote w:id="2">
    <w:p w14:paraId="50C96598" w14:textId="77777777" w:rsidR="003F10FB" w:rsidRPr="00892FB5" w:rsidRDefault="003F10FB" w:rsidP="005C6D64">
      <w:pPr>
        <w:pStyle w:val="FootnoteText"/>
        <w:rPr>
          <w:rFonts w:ascii="Arial" w:hAnsi="Arial" w:cs="Arial"/>
        </w:rPr>
      </w:pPr>
      <w:r w:rsidRPr="00892FB5">
        <w:rPr>
          <w:rStyle w:val="FootnoteReference"/>
          <w:rFonts w:ascii="Arial" w:hAnsi="Arial" w:cs="Arial"/>
        </w:rPr>
        <w:footnoteRef/>
      </w:r>
      <w:r w:rsidRPr="00892FB5">
        <w:rPr>
          <w:rFonts w:ascii="Arial" w:hAnsi="Arial" w:cs="Arial"/>
        </w:rPr>
        <w:t xml:space="preserve"> Energy Systems Integration Group. 2021. </w:t>
      </w:r>
      <w:r w:rsidRPr="00892FB5">
        <w:rPr>
          <w:rFonts w:ascii="Arial" w:hAnsi="Arial" w:cs="Arial"/>
          <w:i/>
          <w:iCs/>
        </w:rPr>
        <w:t>Redefining Resource Adequacy for Modern Power Systems. A Report of the Redefining Resource Adequacy Task Force.</w:t>
      </w:r>
      <w:r w:rsidRPr="00892FB5">
        <w:rPr>
          <w:rFonts w:ascii="Arial" w:hAnsi="Arial" w:cs="Arial"/>
        </w:rPr>
        <w:t xml:space="preserve"> Reston, VA. </w:t>
      </w:r>
      <w:r w:rsidRPr="00892FB5">
        <w:rPr>
          <w:rFonts w:ascii="Arial" w:hAnsi="Arial" w:cs="Arial"/>
          <w:color w:val="1149E0"/>
        </w:rPr>
        <w:t>https://www.esig.energy/reports-briefs</w:t>
      </w:r>
      <w:r w:rsidRPr="00892FB5">
        <w:rPr>
          <w:rFonts w:ascii="Arial" w:hAnsi="Arial" w:cs="Arial"/>
        </w:rPr>
        <w:t>.</w:t>
      </w:r>
    </w:p>
  </w:footnote>
  <w:footnote w:id="3">
    <w:p w14:paraId="5C4170FA" w14:textId="77777777" w:rsidR="003F5B7A" w:rsidRPr="00892FB5" w:rsidRDefault="003F5B7A" w:rsidP="003F5B7A">
      <w:pPr>
        <w:pStyle w:val="FootnoteText"/>
        <w:jc w:val="left"/>
        <w:rPr>
          <w:rFonts w:ascii="Arial" w:hAnsi="Arial" w:cs="Arial"/>
        </w:rPr>
      </w:pPr>
      <w:r w:rsidRPr="00892FB5">
        <w:rPr>
          <w:rStyle w:val="FootnoteReference"/>
          <w:rFonts w:ascii="Arial" w:hAnsi="Arial" w:cs="Arial"/>
        </w:rPr>
        <w:footnoteRef/>
      </w:r>
      <w:r w:rsidRPr="00892FB5">
        <w:rPr>
          <w:rFonts w:ascii="Arial" w:hAnsi="Arial" w:cs="Arial"/>
        </w:rPr>
        <w:t xml:space="preserve"> Rickerson, Woody, and Pete Warnken, “Workshop on ERCOT’s Proposed Reliability Standard Study Framework,“ (Mar. 15, 2023). Download at </w:t>
      </w:r>
    </w:p>
    <w:p w14:paraId="55980F58" w14:textId="3058FF6A" w:rsidR="003F5B7A" w:rsidRDefault="00C93DC1" w:rsidP="003F5B7A">
      <w:pPr>
        <w:pStyle w:val="FootnoteText"/>
        <w:jc w:val="left"/>
        <w:rPr>
          <w:rFonts w:ascii="Arial" w:hAnsi="Arial" w:cs="Arial"/>
        </w:rPr>
      </w:pPr>
      <w:hyperlink r:id="rId1" w:history="1">
        <w:r w:rsidR="003E0471" w:rsidRPr="00A067B0">
          <w:rPr>
            <w:rStyle w:val="Hyperlink"/>
            <w:rFonts w:ascii="Arial" w:hAnsi="Arial" w:cs="Arial"/>
          </w:rPr>
          <w:t>https://www.ercot.com/files/docs/2023/03/09/Workshop_ReliabilityStandardStudy_3-15-2023.pptx</w:t>
        </w:r>
      </w:hyperlink>
    </w:p>
    <w:p w14:paraId="57AE4EDE" w14:textId="77777777" w:rsidR="003E0471" w:rsidRPr="00892FB5" w:rsidRDefault="003E0471" w:rsidP="003F5B7A">
      <w:pPr>
        <w:pStyle w:val="FootnoteText"/>
        <w:jc w:val="left"/>
        <w:rPr>
          <w:rFonts w:ascii="Arial" w:hAnsi="Arial" w:cs="Arial"/>
        </w:rPr>
      </w:pPr>
    </w:p>
  </w:footnote>
  <w:footnote w:id="4">
    <w:p w14:paraId="3F4E7896" w14:textId="566D3AB0" w:rsidR="00FA6EED" w:rsidRPr="009D2F4D" w:rsidRDefault="00FA6EED">
      <w:pPr>
        <w:pStyle w:val="FootnoteText"/>
        <w:rPr>
          <w:rFonts w:ascii="Arial" w:hAnsi="Arial" w:cs="Arial"/>
        </w:rPr>
      </w:pPr>
      <w:r w:rsidRPr="009D2F4D">
        <w:rPr>
          <w:rStyle w:val="FootnoteReference"/>
          <w:rFonts w:ascii="Arial" w:hAnsi="Arial" w:cs="Arial"/>
        </w:rPr>
        <w:footnoteRef/>
      </w:r>
      <w:r w:rsidRPr="009D2F4D">
        <w:rPr>
          <w:rFonts w:ascii="Arial" w:hAnsi="Arial" w:cs="Arial"/>
        </w:rPr>
        <w:t xml:space="preserve"> Energy + Environmental Economics, </w:t>
      </w:r>
      <w:r w:rsidRPr="009D2F4D">
        <w:rPr>
          <w:rFonts w:ascii="Arial" w:hAnsi="Arial" w:cs="Arial"/>
          <w:i/>
          <w:iCs/>
        </w:rPr>
        <w:t>Assessment of Market Reform Options to Enhance Reliability of the ERCOT System</w:t>
      </w:r>
      <w:r w:rsidRPr="009D2F4D">
        <w:rPr>
          <w:rFonts w:ascii="Arial" w:hAnsi="Arial" w:cs="Arial"/>
        </w:rPr>
        <w:t>, Prepared for the Public Utility Commission of Texas, (Nov. 2022) at 126.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3711035" w14:paraId="266D93E7" w14:textId="77777777" w:rsidTr="73711035">
      <w:trPr>
        <w:trHeight w:val="300"/>
      </w:trPr>
      <w:tc>
        <w:tcPr>
          <w:tcW w:w="3120" w:type="dxa"/>
        </w:tcPr>
        <w:p w14:paraId="41BD968E" w14:textId="54022167" w:rsidR="73711035" w:rsidRDefault="73711035" w:rsidP="73711035">
          <w:pPr>
            <w:pStyle w:val="Header"/>
            <w:ind w:left="-115"/>
            <w:jc w:val="left"/>
          </w:pPr>
        </w:p>
      </w:tc>
      <w:tc>
        <w:tcPr>
          <w:tcW w:w="3120" w:type="dxa"/>
        </w:tcPr>
        <w:p w14:paraId="0CEE7B53" w14:textId="0DBC3AE1" w:rsidR="73711035" w:rsidRDefault="73711035" w:rsidP="73711035">
          <w:pPr>
            <w:pStyle w:val="Header"/>
            <w:jc w:val="center"/>
          </w:pPr>
        </w:p>
      </w:tc>
      <w:tc>
        <w:tcPr>
          <w:tcW w:w="3120" w:type="dxa"/>
        </w:tcPr>
        <w:p w14:paraId="55AE70A2" w14:textId="4099B168" w:rsidR="73711035" w:rsidRDefault="73711035" w:rsidP="73711035">
          <w:pPr>
            <w:pStyle w:val="Header"/>
            <w:ind w:right="-115"/>
            <w:jc w:val="right"/>
          </w:pPr>
        </w:p>
      </w:tc>
    </w:tr>
  </w:tbl>
  <w:p w14:paraId="645B3B27" w14:textId="034D7EA1" w:rsidR="73711035" w:rsidRDefault="73711035" w:rsidP="73711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85563" w14:textId="09E25949" w:rsidR="0060760F" w:rsidRDefault="0060760F">
    <w:pPr>
      <w:pStyle w:val="Header"/>
    </w:pPr>
  </w:p>
  <w:p w14:paraId="1E441B5A" w14:textId="45797E53" w:rsidR="0060760F" w:rsidRDefault="0060760F">
    <w:pPr>
      <w:pStyle w:val="Header"/>
    </w:pPr>
  </w:p>
  <w:p w14:paraId="43517507" w14:textId="2EFE053B" w:rsidR="0060760F" w:rsidRDefault="0060760F">
    <w:pPr>
      <w:pStyle w:val="Header"/>
    </w:pPr>
  </w:p>
  <w:p w14:paraId="40C26912" w14:textId="77777777" w:rsidR="0060760F" w:rsidRDefault="006076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596"/>
    <w:multiLevelType w:val="hybridMultilevel"/>
    <w:tmpl w:val="5C3E30C6"/>
    <w:lvl w:ilvl="0" w:tplc="E4BEDD74">
      <w:start w:val="1"/>
      <w:numFmt w:val="upperRoman"/>
      <w:lvlText w:val="%1."/>
      <w:lvlJc w:val="left"/>
      <w:pPr>
        <w:ind w:left="1080" w:hanging="720"/>
      </w:pPr>
      <w:rPr>
        <w:rFonts w:eastAsia="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01E11"/>
    <w:multiLevelType w:val="hybridMultilevel"/>
    <w:tmpl w:val="FE5CDC82"/>
    <w:lvl w:ilvl="0" w:tplc="0638DA9A">
      <w:start w:val="3"/>
      <w:numFmt w:val="upperRoman"/>
      <w:lvlText w:val="%1."/>
      <w:lvlJc w:val="left"/>
      <w:pPr>
        <w:ind w:left="1080" w:hanging="72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C657D4"/>
    <w:multiLevelType w:val="multilevel"/>
    <w:tmpl w:val="5F6A0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224205"/>
    <w:multiLevelType w:val="hybridMultilevel"/>
    <w:tmpl w:val="128E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A16260"/>
    <w:multiLevelType w:val="multilevel"/>
    <w:tmpl w:val="7BA01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07549D"/>
    <w:multiLevelType w:val="multilevel"/>
    <w:tmpl w:val="BBB8F57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40556E"/>
    <w:multiLevelType w:val="hybridMultilevel"/>
    <w:tmpl w:val="61B029CC"/>
    <w:lvl w:ilvl="0" w:tplc="D4E87D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DA2E89"/>
    <w:multiLevelType w:val="hybridMultilevel"/>
    <w:tmpl w:val="DFB6DE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1D121ED"/>
    <w:multiLevelType w:val="hybridMultilevel"/>
    <w:tmpl w:val="7CA65510"/>
    <w:lvl w:ilvl="0" w:tplc="B80638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9961102">
    <w:abstractNumId w:val="3"/>
  </w:num>
  <w:num w:numId="2" w16cid:durableId="778257463">
    <w:abstractNumId w:val="4"/>
  </w:num>
  <w:num w:numId="3" w16cid:durableId="22365295">
    <w:abstractNumId w:val="2"/>
  </w:num>
  <w:num w:numId="4" w16cid:durableId="1828813771">
    <w:abstractNumId w:val="8"/>
  </w:num>
  <w:num w:numId="5" w16cid:durableId="1429502456">
    <w:abstractNumId w:val="7"/>
  </w:num>
  <w:num w:numId="6" w16cid:durableId="1279680961">
    <w:abstractNumId w:val="5"/>
  </w:num>
  <w:num w:numId="7" w16cid:durableId="576017586">
    <w:abstractNumId w:val="1"/>
  </w:num>
  <w:num w:numId="8" w16cid:durableId="1881474237">
    <w:abstractNumId w:val="6"/>
  </w:num>
  <w:num w:numId="9" w16cid:durableId="1089276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15C"/>
    <w:rsid w:val="00016947"/>
    <w:rsid w:val="000211C4"/>
    <w:rsid w:val="0002144B"/>
    <w:rsid w:val="00023CB1"/>
    <w:rsid w:val="000365B1"/>
    <w:rsid w:val="00037D50"/>
    <w:rsid w:val="00040153"/>
    <w:rsid w:val="000403BE"/>
    <w:rsid w:val="00046DC3"/>
    <w:rsid w:val="00055352"/>
    <w:rsid w:val="00055BBF"/>
    <w:rsid w:val="0006002B"/>
    <w:rsid w:val="0006532C"/>
    <w:rsid w:val="000664E1"/>
    <w:rsid w:val="00072FB1"/>
    <w:rsid w:val="00073259"/>
    <w:rsid w:val="00077E34"/>
    <w:rsid w:val="000839EC"/>
    <w:rsid w:val="00087BA3"/>
    <w:rsid w:val="0009348B"/>
    <w:rsid w:val="00095ACB"/>
    <w:rsid w:val="000A122B"/>
    <w:rsid w:val="000A7519"/>
    <w:rsid w:val="000B36E8"/>
    <w:rsid w:val="000B5FC9"/>
    <w:rsid w:val="000C4C89"/>
    <w:rsid w:val="000D41AA"/>
    <w:rsid w:val="000D7517"/>
    <w:rsid w:val="000E6108"/>
    <w:rsid w:val="000E6823"/>
    <w:rsid w:val="000F00EA"/>
    <w:rsid w:val="000F17AB"/>
    <w:rsid w:val="000F579B"/>
    <w:rsid w:val="00107B74"/>
    <w:rsid w:val="00110E3F"/>
    <w:rsid w:val="001278E7"/>
    <w:rsid w:val="0013151E"/>
    <w:rsid w:val="0013235B"/>
    <w:rsid w:val="00134492"/>
    <w:rsid w:val="00151CFE"/>
    <w:rsid w:val="00153FF5"/>
    <w:rsid w:val="00161531"/>
    <w:rsid w:val="00161C13"/>
    <w:rsid w:val="0018169E"/>
    <w:rsid w:val="00182FD2"/>
    <w:rsid w:val="001866CF"/>
    <w:rsid w:val="00195523"/>
    <w:rsid w:val="00196966"/>
    <w:rsid w:val="00196EA7"/>
    <w:rsid w:val="001D0124"/>
    <w:rsid w:val="001D33C6"/>
    <w:rsid w:val="001D407D"/>
    <w:rsid w:val="001E7046"/>
    <w:rsid w:val="001F2BCE"/>
    <w:rsid w:val="001F5BFF"/>
    <w:rsid w:val="00200DB0"/>
    <w:rsid w:val="00201DC6"/>
    <w:rsid w:val="0021200C"/>
    <w:rsid w:val="00226E6D"/>
    <w:rsid w:val="002325D3"/>
    <w:rsid w:val="00236586"/>
    <w:rsid w:val="00247F89"/>
    <w:rsid w:val="00265CED"/>
    <w:rsid w:val="00265DD6"/>
    <w:rsid w:val="002677DE"/>
    <w:rsid w:val="00275706"/>
    <w:rsid w:val="00281634"/>
    <w:rsid w:val="002824A1"/>
    <w:rsid w:val="00282510"/>
    <w:rsid w:val="00293D41"/>
    <w:rsid w:val="00295CB5"/>
    <w:rsid w:val="0029603F"/>
    <w:rsid w:val="00296C5A"/>
    <w:rsid w:val="002A4B8A"/>
    <w:rsid w:val="002A611C"/>
    <w:rsid w:val="002B2BEB"/>
    <w:rsid w:val="002B4830"/>
    <w:rsid w:val="002C7FF7"/>
    <w:rsid w:val="002E0F90"/>
    <w:rsid w:val="002E27B1"/>
    <w:rsid w:val="002E414D"/>
    <w:rsid w:val="002E4531"/>
    <w:rsid w:val="002E4587"/>
    <w:rsid w:val="002F3E2F"/>
    <w:rsid w:val="002F4501"/>
    <w:rsid w:val="00303EC8"/>
    <w:rsid w:val="00305CAE"/>
    <w:rsid w:val="003150CD"/>
    <w:rsid w:val="003174CB"/>
    <w:rsid w:val="00320543"/>
    <w:rsid w:val="00322965"/>
    <w:rsid w:val="00331B9C"/>
    <w:rsid w:val="0033390F"/>
    <w:rsid w:val="00334891"/>
    <w:rsid w:val="003427E7"/>
    <w:rsid w:val="00350668"/>
    <w:rsid w:val="003518ED"/>
    <w:rsid w:val="00354F8E"/>
    <w:rsid w:val="00355944"/>
    <w:rsid w:val="003601EE"/>
    <w:rsid w:val="00364B69"/>
    <w:rsid w:val="00372F44"/>
    <w:rsid w:val="0037338D"/>
    <w:rsid w:val="003830A7"/>
    <w:rsid w:val="00386440"/>
    <w:rsid w:val="0039173E"/>
    <w:rsid w:val="0039645E"/>
    <w:rsid w:val="003A24C2"/>
    <w:rsid w:val="003A6D60"/>
    <w:rsid w:val="003A768F"/>
    <w:rsid w:val="003B14D5"/>
    <w:rsid w:val="003B3BC9"/>
    <w:rsid w:val="003B6F25"/>
    <w:rsid w:val="003B72DA"/>
    <w:rsid w:val="003C4F0A"/>
    <w:rsid w:val="003D4A83"/>
    <w:rsid w:val="003E0471"/>
    <w:rsid w:val="003E1959"/>
    <w:rsid w:val="003E246B"/>
    <w:rsid w:val="003E54F6"/>
    <w:rsid w:val="003E7459"/>
    <w:rsid w:val="003E7EDB"/>
    <w:rsid w:val="003E7FCE"/>
    <w:rsid w:val="003F10FB"/>
    <w:rsid w:val="003F3CD2"/>
    <w:rsid w:val="003F55A0"/>
    <w:rsid w:val="003F5B7A"/>
    <w:rsid w:val="00406838"/>
    <w:rsid w:val="004119E4"/>
    <w:rsid w:val="00415D44"/>
    <w:rsid w:val="0041710A"/>
    <w:rsid w:val="004261FF"/>
    <w:rsid w:val="004331A8"/>
    <w:rsid w:val="00433FC3"/>
    <w:rsid w:val="004441DC"/>
    <w:rsid w:val="00456E24"/>
    <w:rsid w:val="00457E05"/>
    <w:rsid w:val="00464483"/>
    <w:rsid w:val="0046521B"/>
    <w:rsid w:val="00474F6E"/>
    <w:rsid w:val="00484C50"/>
    <w:rsid w:val="004904F7"/>
    <w:rsid w:val="00493737"/>
    <w:rsid w:val="0049438C"/>
    <w:rsid w:val="004A1CB0"/>
    <w:rsid w:val="004A2408"/>
    <w:rsid w:val="004A34BC"/>
    <w:rsid w:val="004B1D6C"/>
    <w:rsid w:val="004C1379"/>
    <w:rsid w:val="004C7DE0"/>
    <w:rsid w:val="004D1750"/>
    <w:rsid w:val="004D1792"/>
    <w:rsid w:val="004D40F9"/>
    <w:rsid w:val="004E0003"/>
    <w:rsid w:val="004E7893"/>
    <w:rsid w:val="004F570A"/>
    <w:rsid w:val="00503648"/>
    <w:rsid w:val="00504E93"/>
    <w:rsid w:val="00511CC3"/>
    <w:rsid w:val="00521319"/>
    <w:rsid w:val="005224DE"/>
    <w:rsid w:val="00525B32"/>
    <w:rsid w:val="005357D3"/>
    <w:rsid w:val="00546498"/>
    <w:rsid w:val="00550985"/>
    <w:rsid w:val="00556854"/>
    <w:rsid w:val="00560041"/>
    <w:rsid w:val="005627F8"/>
    <w:rsid w:val="00570E9F"/>
    <w:rsid w:val="005718B9"/>
    <w:rsid w:val="00574C16"/>
    <w:rsid w:val="00577CC6"/>
    <w:rsid w:val="00585FE1"/>
    <w:rsid w:val="00595B4D"/>
    <w:rsid w:val="00597B9F"/>
    <w:rsid w:val="005A649A"/>
    <w:rsid w:val="005A6B65"/>
    <w:rsid w:val="005B3898"/>
    <w:rsid w:val="005C048A"/>
    <w:rsid w:val="005C45BC"/>
    <w:rsid w:val="005C62C8"/>
    <w:rsid w:val="005C6D64"/>
    <w:rsid w:val="005D4F7E"/>
    <w:rsid w:val="005E51EB"/>
    <w:rsid w:val="005F0E91"/>
    <w:rsid w:val="005F2CCE"/>
    <w:rsid w:val="005F3006"/>
    <w:rsid w:val="005F5299"/>
    <w:rsid w:val="0060760F"/>
    <w:rsid w:val="0061157F"/>
    <w:rsid w:val="00614CB3"/>
    <w:rsid w:val="00621865"/>
    <w:rsid w:val="006321BF"/>
    <w:rsid w:val="00635A62"/>
    <w:rsid w:val="0064101E"/>
    <w:rsid w:val="006443BA"/>
    <w:rsid w:val="00653A5A"/>
    <w:rsid w:val="00656D34"/>
    <w:rsid w:val="0066319B"/>
    <w:rsid w:val="00676976"/>
    <w:rsid w:val="00676E5E"/>
    <w:rsid w:val="006815A2"/>
    <w:rsid w:val="00682A83"/>
    <w:rsid w:val="00692CF4"/>
    <w:rsid w:val="00693936"/>
    <w:rsid w:val="006A22E4"/>
    <w:rsid w:val="006A2987"/>
    <w:rsid w:val="006A31B7"/>
    <w:rsid w:val="006A7AF9"/>
    <w:rsid w:val="006B1AD3"/>
    <w:rsid w:val="006B34DE"/>
    <w:rsid w:val="006C6A94"/>
    <w:rsid w:val="006C7868"/>
    <w:rsid w:val="006D231C"/>
    <w:rsid w:val="006E1D2B"/>
    <w:rsid w:val="006E3AD5"/>
    <w:rsid w:val="006E4C28"/>
    <w:rsid w:val="006E6385"/>
    <w:rsid w:val="006F2C80"/>
    <w:rsid w:val="006F459B"/>
    <w:rsid w:val="006F5B13"/>
    <w:rsid w:val="007029EB"/>
    <w:rsid w:val="00706D4F"/>
    <w:rsid w:val="007075E8"/>
    <w:rsid w:val="00714A05"/>
    <w:rsid w:val="00717D5D"/>
    <w:rsid w:val="007203AF"/>
    <w:rsid w:val="00721894"/>
    <w:rsid w:val="007220FD"/>
    <w:rsid w:val="00733019"/>
    <w:rsid w:val="0073682B"/>
    <w:rsid w:val="007371A3"/>
    <w:rsid w:val="0073799F"/>
    <w:rsid w:val="0074405F"/>
    <w:rsid w:val="0075310D"/>
    <w:rsid w:val="00757B6F"/>
    <w:rsid w:val="0076294F"/>
    <w:rsid w:val="00766712"/>
    <w:rsid w:val="007741D4"/>
    <w:rsid w:val="00775EFD"/>
    <w:rsid w:val="00782A8A"/>
    <w:rsid w:val="00794EBE"/>
    <w:rsid w:val="0079546E"/>
    <w:rsid w:val="007959E6"/>
    <w:rsid w:val="007A24CC"/>
    <w:rsid w:val="007B2B1D"/>
    <w:rsid w:val="007B3C57"/>
    <w:rsid w:val="007B3DE4"/>
    <w:rsid w:val="007B687B"/>
    <w:rsid w:val="007C5567"/>
    <w:rsid w:val="007C7F87"/>
    <w:rsid w:val="007D1F02"/>
    <w:rsid w:val="007D2F79"/>
    <w:rsid w:val="007D3B9A"/>
    <w:rsid w:val="007E26D8"/>
    <w:rsid w:val="007E688C"/>
    <w:rsid w:val="007E7F91"/>
    <w:rsid w:val="007F6807"/>
    <w:rsid w:val="007F6DFC"/>
    <w:rsid w:val="00801AA8"/>
    <w:rsid w:val="0081565B"/>
    <w:rsid w:val="0082715E"/>
    <w:rsid w:val="0083115C"/>
    <w:rsid w:val="00834E80"/>
    <w:rsid w:val="00844EB4"/>
    <w:rsid w:val="00846891"/>
    <w:rsid w:val="008540F0"/>
    <w:rsid w:val="0085563D"/>
    <w:rsid w:val="008645FF"/>
    <w:rsid w:val="00875F9E"/>
    <w:rsid w:val="00880C62"/>
    <w:rsid w:val="0088518C"/>
    <w:rsid w:val="00892FB5"/>
    <w:rsid w:val="008932AF"/>
    <w:rsid w:val="00894305"/>
    <w:rsid w:val="0089643A"/>
    <w:rsid w:val="008A6041"/>
    <w:rsid w:val="008A6A05"/>
    <w:rsid w:val="008C1B94"/>
    <w:rsid w:val="008C4626"/>
    <w:rsid w:val="008D490C"/>
    <w:rsid w:val="008E4DD0"/>
    <w:rsid w:val="008E62DC"/>
    <w:rsid w:val="008E6677"/>
    <w:rsid w:val="008E775E"/>
    <w:rsid w:val="008F4DF6"/>
    <w:rsid w:val="008F665F"/>
    <w:rsid w:val="00913D63"/>
    <w:rsid w:val="00916531"/>
    <w:rsid w:val="00932FEB"/>
    <w:rsid w:val="00933216"/>
    <w:rsid w:val="00940043"/>
    <w:rsid w:val="0094321A"/>
    <w:rsid w:val="0094624A"/>
    <w:rsid w:val="00946991"/>
    <w:rsid w:val="0095296F"/>
    <w:rsid w:val="00960997"/>
    <w:rsid w:val="00962271"/>
    <w:rsid w:val="009710DC"/>
    <w:rsid w:val="00991591"/>
    <w:rsid w:val="009A12B2"/>
    <w:rsid w:val="009A1974"/>
    <w:rsid w:val="009B449C"/>
    <w:rsid w:val="009C085A"/>
    <w:rsid w:val="009C71E7"/>
    <w:rsid w:val="009C7680"/>
    <w:rsid w:val="009D16C1"/>
    <w:rsid w:val="009D2F4D"/>
    <w:rsid w:val="009D4007"/>
    <w:rsid w:val="009D7183"/>
    <w:rsid w:val="009E0E7A"/>
    <w:rsid w:val="009E40FE"/>
    <w:rsid w:val="009E4F89"/>
    <w:rsid w:val="009E7B21"/>
    <w:rsid w:val="00A12DF6"/>
    <w:rsid w:val="00A15A17"/>
    <w:rsid w:val="00A16A16"/>
    <w:rsid w:val="00A204F7"/>
    <w:rsid w:val="00A23EA9"/>
    <w:rsid w:val="00A3067F"/>
    <w:rsid w:val="00A32167"/>
    <w:rsid w:val="00A339B1"/>
    <w:rsid w:val="00A5690A"/>
    <w:rsid w:val="00A56FB1"/>
    <w:rsid w:val="00A605DC"/>
    <w:rsid w:val="00A91820"/>
    <w:rsid w:val="00A94822"/>
    <w:rsid w:val="00A9792E"/>
    <w:rsid w:val="00AA084B"/>
    <w:rsid w:val="00AA2FA1"/>
    <w:rsid w:val="00AA5E95"/>
    <w:rsid w:val="00AA7268"/>
    <w:rsid w:val="00AB36E7"/>
    <w:rsid w:val="00AB4D55"/>
    <w:rsid w:val="00AB5590"/>
    <w:rsid w:val="00AC224F"/>
    <w:rsid w:val="00AC2481"/>
    <w:rsid w:val="00AC3678"/>
    <w:rsid w:val="00AC632E"/>
    <w:rsid w:val="00AC6719"/>
    <w:rsid w:val="00AE0786"/>
    <w:rsid w:val="00AE13AB"/>
    <w:rsid w:val="00AE2516"/>
    <w:rsid w:val="00AE44C1"/>
    <w:rsid w:val="00AE525D"/>
    <w:rsid w:val="00AE7747"/>
    <w:rsid w:val="00AF05F5"/>
    <w:rsid w:val="00B0420B"/>
    <w:rsid w:val="00B131B9"/>
    <w:rsid w:val="00B13E95"/>
    <w:rsid w:val="00B16FD7"/>
    <w:rsid w:val="00B2289D"/>
    <w:rsid w:val="00B31383"/>
    <w:rsid w:val="00B33C49"/>
    <w:rsid w:val="00B378B2"/>
    <w:rsid w:val="00B5279E"/>
    <w:rsid w:val="00B738CB"/>
    <w:rsid w:val="00B9067D"/>
    <w:rsid w:val="00B94DDA"/>
    <w:rsid w:val="00BA1C88"/>
    <w:rsid w:val="00BA4D05"/>
    <w:rsid w:val="00BB1CC7"/>
    <w:rsid w:val="00BB1F04"/>
    <w:rsid w:val="00BC3EB9"/>
    <w:rsid w:val="00BC3EBC"/>
    <w:rsid w:val="00BC5DF6"/>
    <w:rsid w:val="00BC7B41"/>
    <w:rsid w:val="00BD3288"/>
    <w:rsid w:val="00BD6A83"/>
    <w:rsid w:val="00BE5FE2"/>
    <w:rsid w:val="00BE6FF9"/>
    <w:rsid w:val="00BF52AA"/>
    <w:rsid w:val="00BF55C4"/>
    <w:rsid w:val="00C01AD2"/>
    <w:rsid w:val="00C04FCC"/>
    <w:rsid w:val="00C06CB5"/>
    <w:rsid w:val="00C10BA0"/>
    <w:rsid w:val="00C16267"/>
    <w:rsid w:val="00C215CD"/>
    <w:rsid w:val="00C249D9"/>
    <w:rsid w:val="00C405CA"/>
    <w:rsid w:val="00C434D5"/>
    <w:rsid w:val="00C55015"/>
    <w:rsid w:val="00C67BC3"/>
    <w:rsid w:val="00C7173C"/>
    <w:rsid w:val="00C728F7"/>
    <w:rsid w:val="00C73D1D"/>
    <w:rsid w:val="00C90CE9"/>
    <w:rsid w:val="00C92382"/>
    <w:rsid w:val="00C92435"/>
    <w:rsid w:val="00C93DC1"/>
    <w:rsid w:val="00C93F59"/>
    <w:rsid w:val="00CA14B7"/>
    <w:rsid w:val="00CA714C"/>
    <w:rsid w:val="00CB1393"/>
    <w:rsid w:val="00CC72ED"/>
    <w:rsid w:val="00CD45C7"/>
    <w:rsid w:val="00CD65CD"/>
    <w:rsid w:val="00CE6BBC"/>
    <w:rsid w:val="00CE6CB8"/>
    <w:rsid w:val="00CF1729"/>
    <w:rsid w:val="00CF5288"/>
    <w:rsid w:val="00D00B0E"/>
    <w:rsid w:val="00D0609C"/>
    <w:rsid w:val="00D10A8F"/>
    <w:rsid w:val="00D119EA"/>
    <w:rsid w:val="00D17650"/>
    <w:rsid w:val="00D36F2B"/>
    <w:rsid w:val="00D60BEC"/>
    <w:rsid w:val="00D674F8"/>
    <w:rsid w:val="00D74790"/>
    <w:rsid w:val="00D769A6"/>
    <w:rsid w:val="00D820E3"/>
    <w:rsid w:val="00D91AC1"/>
    <w:rsid w:val="00D95503"/>
    <w:rsid w:val="00D96DAC"/>
    <w:rsid w:val="00DA6360"/>
    <w:rsid w:val="00DD1F20"/>
    <w:rsid w:val="00DD63FF"/>
    <w:rsid w:val="00DE0464"/>
    <w:rsid w:val="00DE4554"/>
    <w:rsid w:val="00DE56F6"/>
    <w:rsid w:val="00E0031C"/>
    <w:rsid w:val="00E00DF5"/>
    <w:rsid w:val="00E01F7C"/>
    <w:rsid w:val="00E04378"/>
    <w:rsid w:val="00E04C36"/>
    <w:rsid w:val="00E1114C"/>
    <w:rsid w:val="00E2246E"/>
    <w:rsid w:val="00E324D3"/>
    <w:rsid w:val="00E35928"/>
    <w:rsid w:val="00E368DD"/>
    <w:rsid w:val="00E473AC"/>
    <w:rsid w:val="00E51E05"/>
    <w:rsid w:val="00E52399"/>
    <w:rsid w:val="00E7334E"/>
    <w:rsid w:val="00E74113"/>
    <w:rsid w:val="00E80835"/>
    <w:rsid w:val="00E84043"/>
    <w:rsid w:val="00E85E6E"/>
    <w:rsid w:val="00E866B3"/>
    <w:rsid w:val="00EA112A"/>
    <w:rsid w:val="00EB16E8"/>
    <w:rsid w:val="00EB729B"/>
    <w:rsid w:val="00EC4E29"/>
    <w:rsid w:val="00ED05D0"/>
    <w:rsid w:val="00ED6E5C"/>
    <w:rsid w:val="00EE463A"/>
    <w:rsid w:val="00EE4F07"/>
    <w:rsid w:val="00EF585F"/>
    <w:rsid w:val="00F02567"/>
    <w:rsid w:val="00F12120"/>
    <w:rsid w:val="00F210BA"/>
    <w:rsid w:val="00F2706D"/>
    <w:rsid w:val="00F313ED"/>
    <w:rsid w:val="00F37D5A"/>
    <w:rsid w:val="00F51E0A"/>
    <w:rsid w:val="00F656F2"/>
    <w:rsid w:val="00F67498"/>
    <w:rsid w:val="00F8746C"/>
    <w:rsid w:val="00F93529"/>
    <w:rsid w:val="00F949EE"/>
    <w:rsid w:val="00FA11EC"/>
    <w:rsid w:val="00FA6EED"/>
    <w:rsid w:val="00FA7EF2"/>
    <w:rsid w:val="00FB4620"/>
    <w:rsid w:val="00FB5BA1"/>
    <w:rsid w:val="00FC0303"/>
    <w:rsid w:val="00FC0724"/>
    <w:rsid w:val="00FC4EBA"/>
    <w:rsid w:val="00FC65C8"/>
    <w:rsid w:val="00FD4086"/>
    <w:rsid w:val="00FE0A69"/>
    <w:rsid w:val="00FE286E"/>
    <w:rsid w:val="00FE2AFE"/>
    <w:rsid w:val="09BE5731"/>
    <w:rsid w:val="0FECF143"/>
    <w:rsid w:val="43AD6A5F"/>
    <w:rsid w:val="4914DBA5"/>
    <w:rsid w:val="6A8AA7E1"/>
    <w:rsid w:val="729202E0"/>
    <w:rsid w:val="73711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B4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5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83115C"/>
    <w:pPr>
      <w:jc w:val="left"/>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31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150CD"/>
    <w:pPr>
      <w:tabs>
        <w:tab w:val="center" w:pos="4680"/>
        <w:tab w:val="right" w:pos="9360"/>
      </w:tabs>
    </w:pPr>
  </w:style>
  <w:style w:type="character" w:customStyle="1" w:styleId="HeaderChar">
    <w:name w:val="Header Char"/>
    <w:basedOn w:val="DefaultParagraphFont"/>
    <w:link w:val="Header"/>
    <w:uiPriority w:val="99"/>
    <w:rsid w:val="003150CD"/>
  </w:style>
  <w:style w:type="paragraph" w:styleId="Footer">
    <w:name w:val="footer"/>
    <w:basedOn w:val="Normal"/>
    <w:link w:val="FooterChar"/>
    <w:uiPriority w:val="99"/>
    <w:unhideWhenUsed/>
    <w:rsid w:val="003150CD"/>
    <w:pPr>
      <w:tabs>
        <w:tab w:val="center" w:pos="4680"/>
        <w:tab w:val="right" w:pos="9360"/>
      </w:tabs>
    </w:pPr>
  </w:style>
  <w:style w:type="character" w:customStyle="1" w:styleId="FooterChar">
    <w:name w:val="Footer Char"/>
    <w:basedOn w:val="DefaultParagraphFont"/>
    <w:link w:val="Footer"/>
    <w:uiPriority w:val="99"/>
    <w:rsid w:val="003150CD"/>
  </w:style>
  <w:style w:type="paragraph" w:styleId="FootnoteText">
    <w:name w:val="footnote text"/>
    <w:basedOn w:val="Normal"/>
    <w:link w:val="FootnoteTextChar"/>
    <w:uiPriority w:val="99"/>
    <w:semiHidden/>
    <w:unhideWhenUsed/>
    <w:rsid w:val="009C71E7"/>
    <w:rPr>
      <w:sz w:val="20"/>
      <w:szCs w:val="20"/>
    </w:rPr>
  </w:style>
  <w:style w:type="character" w:customStyle="1" w:styleId="FootnoteTextChar">
    <w:name w:val="Footnote Text Char"/>
    <w:basedOn w:val="DefaultParagraphFont"/>
    <w:link w:val="FootnoteText"/>
    <w:uiPriority w:val="99"/>
    <w:semiHidden/>
    <w:rsid w:val="009C71E7"/>
    <w:rPr>
      <w:sz w:val="20"/>
      <w:szCs w:val="20"/>
    </w:rPr>
  </w:style>
  <w:style w:type="character" w:styleId="FootnoteReference">
    <w:name w:val="footnote reference"/>
    <w:basedOn w:val="DefaultParagraphFont"/>
    <w:uiPriority w:val="99"/>
    <w:semiHidden/>
    <w:unhideWhenUsed/>
    <w:rsid w:val="009C71E7"/>
    <w:rPr>
      <w:vertAlign w:val="superscript"/>
    </w:rPr>
  </w:style>
  <w:style w:type="paragraph" w:styleId="Revision">
    <w:name w:val="Revision"/>
    <w:hidden/>
    <w:uiPriority w:val="99"/>
    <w:semiHidden/>
    <w:rsid w:val="0073682B"/>
    <w:pPr>
      <w:jc w:val="left"/>
    </w:pPr>
  </w:style>
  <w:style w:type="paragraph" w:styleId="ListParagraph">
    <w:name w:val="List Paragraph"/>
    <w:basedOn w:val="Normal"/>
    <w:uiPriority w:val="34"/>
    <w:qFormat/>
    <w:rsid w:val="00016947"/>
    <w:pPr>
      <w:ind w:left="720"/>
      <w:contextualSpacing/>
    </w:pPr>
  </w:style>
  <w:style w:type="paragraph" w:styleId="NormalWeb">
    <w:name w:val="Normal (Web)"/>
    <w:basedOn w:val="Normal"/>
    <w:uiPriority w:val="99"/>
    <w:semiHidden/>
    <w:unhideWhenUsed/>
    <w:rsid w:val="00880C62"/>
    <w:pPr>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60760F"/>
    <w:pPr>
      <w:widowControl w:val="0"/>
      <w:autoSpaceDE w:val="0"/>
      <w:autoSpaceDN w:val="0"/>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60760F"/>
    <w:rPr>
      <w:rFonts w:ascii="Times New Roman" w:eastAsia="Times New Roman" w:hAnsi="Times New Roman" w:cs="Times New Roman"/>
      <w:sz w:val="24"/>
      <w:szCs w:val="24"/>
    </w:rPr>
  </w:style>
  <w:style w:type="paragraph" w:customStyle="1" w:styleId="Default">
    <w:name w:val="Default"/>
    <w:rsid w:val="0060760F"/>
    <w:pPr>
      <w:autoSpaceDE w:val="0"/>
      <w:autoSpaceDN w:val="0"/>
      <w:adjustRightInd w:val="0"/>
      <w:jc w:val="left"/>
    </w:pPr>
    <w:rPr>
      <w:rFonts w:ascii="Book Antiqua" w:hAnsi="Book Antiqua" w:cs="Book Antiqua"/>
      <w:color w:val="000000"/>
      <w:sz w:val="24"/>
      <w:szCs w:val="24"/>
    </w:rPr>
  </w:style>
  <w:style w:type="character" w:styleId="Hyperlink">
    <w:name w:val="Hyperlink"/>
    <w:basedOn w:val="DefaultParagraphFont"/>
    <w:uiPriority w:val="99"/>
    <w:unhideWhenUsed/>
    <w:rsid w:val="0018169E"/>
    <w:rPr>
      <w:color w:val="0563C1" w:themeColor="hyperlink"/>
      <w:u w:val="single"/>
    </w:rPr>
  </w:style>
  <w:style w:type="character" w:styleId="FollowedHyperlink">
    <w:name w:val="FollowedHyperlink"/>
    <w:basedOn w:val="DefaultParagraphFont"/>
    <w:uiPriority w:val="99"/>
    <w:semiHidden/>
    <w:unhideWhenUsed/>
    <w:rsid w:val="00D17650"/>
    <w:rPr>
      <w:color w:val="954F72" w:themeColor="followedHyperlink"/>
      <w:u w:val="single"/>
    </w:rPr>
  </w:style>
  <w:style w:type="character" w:styleId="UnresolvedMention">
    <w:name w:val="Unresolved Mention"/>
    <w:basedOn w:val="DefaultParagraphFont"/>
    <w:uiPriority w:val="99"/>
    <w:semiHidden/>
    <w:unhideWhenUsed/>
    <w:rsid w:val="005A6B65"/>
    <w:rPr>
      <w:color w:val="605E5C"/>
      <w:shd w:val="clear" w:color="auto" w:fill="E1DFDD"/>
    </w:rPr>
  </w:style>
  <w:style w:type="character" w:styleId="CommentReference">
    <w:name w:val="annotation reference"/>
    <w:basedOn w:val="DefaultParagraphFont"/>
    <w:uiPriority w:val="99"/>
    <w:semiHidden/>
    <w:unhideWhenUsed/>
    <w:rsid w:val="00C55015"/>
    <w:rPr>
      <w:sz w:val="16"/>
      <w:szCs w:val="16"/>
    </w:rPr>
  </w:style>
  <w:style w:type="paragraph" w:styleId="CommentText">
    <w:name w:val="annotation text"/>
    <w:basedOn w:val="Normal"/>
    <w:link w:val="CommentTextChar"/>
    <w:uiPriority w:val="99"/>
    <w:unhideWhenUsed/>
    <w:rsid w:val="00C55015"/>
    <w:rPr>
      <w:sz w:val="20"/>
      <w:szCs w:val="20"/>
    </w:rPr>
  </w:style>
  <w:style w:type="character" w:customStyle="1" w:styleId="CommentTextChar">
    <w:name w:val="Comment Text Char"/>
    <w:basedOn w:val="DefaultParagraphFont"/>
    <w:link w:val="CommentText"/>
    <w:uiPriority w:val="99"/>
    <w:rsid w:val="00C55015"/>
    <w:rPr>
      <w:sz w:val="20"/>
      <w:szCs w:val="20"/>
    </w:rPr>
  </w:style>
  <w:style w:type="paragraph" w:styleId="CommentSubject">
    <w:name w:val="annotation subject"/>
    <w:basedOn w:val="CommentText"/>
    <w:next w:val="CommentText"/>
    <w:link w:val="CommentSubjectChar"/>
    <w:uiPriority w:val="99"/>
    <w:semiHidden/>
    <w:unhideWhenUsed/>
    <w:rsid w:val="00C55015"/>
    <w:rPr>
      <w:b/>
      <w:bCs/>
    </w:rPr>
  </w:style>
  <w:style w:type="character" w:customStyle="1" w:styleId="CommentSubjectChar">
    <w:name w:val="Comment Subject Char"/>
    <w:basedOn w:val="CommentTextChar"/>
    <w:link w:val="CommentSubject"/>
    <w:uiPriority w:val="99"/>
    <w:semiHidden/>
    <w:rsid w:val="00C5501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2269">
      <w:bodyDiv w:val="1"/>
      <w:marLeft w:val="0"/>
      <w:marRight w:val="0"/>
      <w:marTop w:val="0"/>
      <w:marBottom w:val="0"/>
      <w:divBdr>
        <w:top w:val="none" w:sz="0" w:space="0" w:color="auto"/>
        <w:left w:val="none" w:sz="0" w:space="0" w:color="auto"/>
        <w:bottom w:val="none" w:sz="0" w:space="0" w:color="auto"/>
        <w:right w:val="none" w:sz="0" w:space="0" w:color="auto"/>
      </w:divBdr>
      <w:divsChild>
        <w:div w:id="164512803">
          <w:marLeft w:val="0"/>
          <w:marRight w:val="0"/>
          <w:marTop w:val="0"/>
          <w:marBottom w:val="0"/>
          <w:divBdr>
            <w:top w:val="none" w:sz="0" w:space="0" w:color="auto"/>
            <w:left w:val="none" w:sz="0" w:space="0" w:color="auto"/>
            <w:bottom w:val="none" w:sz="0" w:space="0" w:color="auto"/>
            <w:right w:val="none" w:sz="0" w:space="0" w:color="auto"/>
          </w:divBdr>
          <w:divsChild>
            <w:div w:id="476462611">
              <w:marLeft w:val="0"/>
              <w:marRight w:val="0"/>
              <w:marTop w:val="0"/>
              <w:marBottom w:val="0"/>
              <w:divBdr>
                <w:top w:val="none" w:sz="0" w:space="0" w:color="auto"/>
                <w:left w:val="none" w:sz="0" w:space="0" w:color="auto"/>
                <w:bottom w:val="none" w:sz="0" w:space="0" w:color="auto"/>
                <w:right w:val="none" w:sz="0" w:space="0" w:color="auto"/>
              </w:divBdr>
              <w:divsChild>
                <w:div w:id="16153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673171">
      <w:bodyDiv w:val="1"/>
      <w:marLeft w:val="0"/>
      <w:marRight w:val="0"/>
      <w:marTop w:val="0"/>
      <w:marBottom w:val="0"/>
      <w:divBdr>
        <w:top w:val="none" w:sz="0" w:space="0" w:color="auto"/>
        <w:left w:val="none" w:sz="0" w:space="0" w:color="auto"/>
        <w:bottom w:val="none" w:sz="0" w:space="0" w:color="auto"/>
        <w:right w:val="none" w:sz="0" w:space="0" w:color="auto"/>
      </w:divBdr>
      <w:divsChild>
        <w:div w:id="2075083521">
          <w:marLeft w:val="0"/>
          <w:marRight w:val="0"/>
          <w:marTop w:val="0"/>
          <w:marBottom w:val="0"/>
          <w:divBdr>
            <w:top w:val="none" w:sz="0" w:space="0" w:color="auto"/>
            <w:left w:val="none" w:sz="0" w:space="0" w:color="auto"/>
            <w:bottom w:val="none" w:sz="0" w:space="0" w:color="auto"/>
            <w:right w:val="none" w:sz="0" w:space="0" w:color="auto"/>
          </w:divBdr>
          <w:divsChild>
            <w:div w:id="500631352">
              <w:marLeft w:val="0"/>
              <w:marRight w:val="0"/>
              <w:marTop w:val="0"/>
              <w:marBottom w:val="0"/>
              <w:divBdr>
                <w:top w:val="none" w:sz="0" w:space="0" w:color="auto"/>
                <w:left w:val="none" w:sz="0" w:space="0" w:color="auto"/>
                <w:bottom w:val="none" w:sz="0" w:space="0" w:color="auto"/>
                <w:right w:val="none" w:sz="0" w:space="0" w:color="auto"/>
              </w:divBdr>
              <w:divsChild>
                <w:div w:id="14418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585240">
      <w:bodyDiv w:val="1"/>
      <w:marLeft w:val="0"/>
      <w:marRight w:val="0"/>
      <w:marTop w:val="0"/>
      <w:marBottom w:val="0"/>
      <w:divBdr>
        <w:top w:val="none" w:sz="0" w:space="0" w:color="auto"/>
        <w:left w:val="none" w:sz="0" w:space="0" w:color="auto"/>
        <w:bottom w:val="none" w:sz="0" w:space="0" w:color="auto"/>
        <w:right w:val="none" w:sz="0" w:space="0" w:color="auto"/>
      </w:divBdr>
    </w:div>
    <w:div w:id="1807818326">
      <w:bodyDiv w:val="1"/>
      <w:marLeft w:val="0"/>
      <w:marRight w:val="0"/>
      <w:marTop w:val="0"/>
      <w:marBottom w:val="0"/>
      <w:divBdr>
        <w:top w:val="none" w:sz="0" w:space="0" w:color="auto"/>
        <w:left w:val="none" w:sz="0" w:space="0" w:color="auto"/>
        <w:bottom w:val="none" w:sz="0" w:space="0" w:color="auto"/>
        <w:right w:val="none" w:sz="0" w:space="0" w:color="auto"/>
      </w:divBdr>
    </w:div>
    <w:div w:id="1854756205">
      <w:bodyDiv w:val="1"/>
      <w:marLeft w:val="0"/>
      <w:marRight w:val="0"/>
      <w:marTop w:val="0"/>
      <w:marBottom w:val="0"/>
      <w:divBdr>
        <w:top w:val="none" w:sz="0" w:space="0" w:color="auto"/>
        <w:left w:val="none" w:sz="0" w:space="0" w:color="auto"/>
        <w:bottom w:val="none" w:sz="0" w:space="0" w:color="auto"/>
        <w:right w:val="none" w:sz="0" w:space="0" w:color="auto"/>
      </w:divBdr>
      <w:divsChild>
        <w:div w:id="250823054">
          <w:marLeft w:val="0"/>
          <w:marRight w:val="0"/>
          <w:marTop w:val="0"/>
          <w:marBottom w:val="0"/>
          <w:divBdr>
            <w:top w:val="none" w:sz="0" w:space="0" w:color="auto"/>
            <w:left w:val="none" w:sz="0" w:space="0" w:color="auto"/>
            <w:bottom w:val="none" w:sz="0" w:space="0" w:color="auto"/>
            <w:right w:val="none" w:sz="0" w:space="0" w:color="auto"/>
          </w:divBdr>
          <w:divsChild>
            <w:div w:id="195315197">
              <w:marLeft w:val="0"/>
              <w:marRight w:val="0"/>
              <w:marTop w:val="0"/>
              <w:marBottom w:val="0"/>
              <w:divBdr>
                <w:top w:val="none" w:sz="0" w:space="0" w:color="auto"/>
                <w:left w:val="none" w:sz="0" w:space="0" w:color="auto"/>
                <w:bottom w:val="none" w:sz="0" w:space="0" w:color="auto"/>
                <w:right w:val="none" w:sz="0" w:space="0" w:color="auto"/>
              </w:divBdr>
              <w:divsChild>
                <w:div w:id="15157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89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ichael@jewellandassociates.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tonya@txsolarpower.org" TargetMode="External"/><Relationship Id="rId4" Type="http://schemas.openxmlformats.org/officeDocument/2006/relationships/settings" Target="settings.xml"/><Relationship Id="rId9" Type="http://schemas.openxmlformats.org/officeDocument/2006/relationships/hyperlink" Target="http://www.txsolarpower.co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rcot.com/files/docs/2023/03/09/Workshop_ReliabilityStandardStudy_3-15-2023.pp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B6A35-FFD8-431E-8C24-3979B63A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2165</Words>
  <Characters>12345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14482</CharactersWithSpaces>
  <SharedDoc>false</SharedDoc>
  <HLinks>
    <vt:vector size="18" baseType="variant">
      <vt:variant>
        <vt:i4>6881368</vt:i4>
      </vt:variant>
      <vt:variant>
        <vt:i4>6</vt:i4>
      </vt:variant>
      <vt:variant>
        <vt:i4>0</vt:i4>
      </vt:variant>
      <vt:variant>
        <vt:i4>5</vt:i4>
      </vt:variant>
      <vt:variant>
        <vt:lpwstr>mailto:michael@jewellandassociates.com</vt:lpwstr>
      </vt:variant>
      <vt:variant>
        <vt:lpwstr/>
      </vt:variant>
      <vt:variant>
        <vt:i4>5636208</vt:i4>
      </vt:variant>
      <vt:variant>
        <vt:i4>3</vt:i4>
      </vt:variant>
      <vt:variant>
        <vt:i4>0</vt:i4>
      </vt:variant>
      <vt:variant>
        <vt:i4>5</vt:i4>
      </vt:variant>
      <vt:variant>
        <vt:lpwstr>mailto:tonya@txsolarpower.org</vt:lpwstr>
      </vt:variant>
      <vt:variant>
        <vt:lpwstr/>
      </vt:variant>
      <vt:variant>
        <vt:i4>5636189</vt:i4>
      </vt:variant>
      <vt:variant>
        <vt:i4>0</vt:i4>
      </vt:variant>
      <vt:variant>
        <vt:i4>0</vt:i4>
      </vt:variant>
      <vt:variant>
        <vt:i4>5</vt:i4>
      </vt:variant>
      <vt:variant>
        <vt:lpwstr>http://www.txsolarpower.com/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2023-03-29T18:12:00Z</dcterms:created>
  <dcterms:modified xsi:type="dcterms:W3CDTF">2023-03-29T18:42:00Z</dcterms:modified>
</cp:coreProperties>
</file>